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2E099" w14:textId="77777777" w:rsidR="002007BE" w:rsidRPr="00004CF8" w:rsidRDefault="002007BE" w:rsidP="002007BE">
      <w:pPr>
        <w:rPr>
          <w:rFonts w:ascii="Calibri" w:hAnsi="Calibri" w:cs="Arial"/>
          <w:b/>
          <w:sz w:val="20"/>
          <w:szCs w:val="20"/>
        </w:rPr>
      </w:pPr>
      <w:r w:rsidRPr="00004CF8">
        <w:rPr>
          <w:rFonts w:ascii="Calibri" w:hAnsi="Calibri" w:cs="Arial"/>
          <w:b/>
          <w:sz w:val="20"/>
          <w:szCs w:val="20"/>
        </w:rPr>
        <w:t>RBAP Economic Update</w:t>
      </w:r>
    </w:p>
    <w:p w14:paraId="5BAF3ECC" w14:textId="28E11977" w:rsidR="002007BE" w:rsidRPr="00004CF8" w:rsidRDefault="00AE1059" w:rsidP="002007BE">
      <w:pPr>
        <w:pBdr>
          <w:bottom w:val="single" w:sz="6" w:space="1" w:color="auto"/>
        </w:pBdr>
        <w:rPr>
          <w:rFonts w:ascii="Calibri" w:hAnsi="Calibri" w:cs="Arial"/>
          <w:sz w:val="20"/>
          <w:szCs w:val="20"/>
        </w:rPr>
      </w:pPr>
      <w:r w:rsidRPr="00004CF8">
        <w:rPr>
          <w:rFonts w:ascii="Calibri" w:hAnsi="Calibri" w:cs="Arial"/>
          <w:sz w:val="20"/>
          <w:szCs w:val="20"/>
        </w:rPr>
        <w:t>3 August 2015; 3:00 PM; EBC—</w:t>
      </w:r>
      <w:r w:rsidR="002007BE" w:rsidRPr="00004CF8">
        <w:rPr>
          <w:rFonts w:ascii="Calibri" w:hAnsi="Calibri" w:cs="Arial"/>
          <w:sz w:val="20"/>
          <w:szCs w:val="20"/>
        </w:rPr>
        <w:t>Visayas/ Mindanao</w:t>
      </w:r>
    </w:p>
    <w:p w14:paraId="6D0903A1" w14:textId="77777777" w:rsidR="002007BE" w:rsidRPr="00004CF8" w:rsidRDefault="002007BE" w:rsidP="00E42350">
      <w:pPr>
        <w:jc w:val="right"/>
        <w:rPr>
          <w:rFonts w:ascii="Calibri" w:hAnsi="Calibri" w:cs="Arial"/>
          <w:sz w:val="20"/>
          <w:szCs w:val="20"/>
        </w:rPr>
      </w:pPr>
    </w:p>
    <w:p w14:paraId="0DDD2A6F" w14:textId="77777777" w:rsidR="002007BE" w:rsidRPr="00004CF8" w:rsidRDefault="002007BE" w:rsidP="002007BE">
      <w:pPr>
        <w:rPr>
          <w:rFonts w:ascii="Calibri" w:hAnsi="Calibri" w:cs="Arial"/>
          <w:b/>
          <w:sz w:val="20"/>
          <w:szCs w:val="20"/>
        </w:rPr>
      </w:pPr>
      <w:r w:rsidRPr="00004CF8">
        <w:rPr>
          <w:rFonts w:ascii="Calibri" w:hAnsi="Calibri" w:cs="Arial"/>
          <w:b/>
          <w:sz w:val="20"/>
          <w:szCs w:val="20"/>
        </w:rPr>
        <w:t>Real sector</w:t>
      </w:r>
    </w:p>
    <w:p w14:paraId="5E9AAD4A" w14:textId="77777777" w:rsidR="00AE1059" w:rsidRPr="00004CF8" w:rsidRDefault="002007BE" w:rsidP="002007BE">
      <w:pPr>
        <w:pStyle w:val="ListParagraph"/>
        <w:numPr>
          <w:ilvl w:val="0"/>
          <w:numId w:val="1"/>
        </w:numPr>
        <w:ind w:left="360"/>
        <w:rPr>
          <w:rFonts w:ascii="Calibri" w:hAnsi="Calibri" w:cs="Arial"/>
          <w:b/>
          <w:sz w:val="20"/>
          <w:szCs w:val="20"/>
        </w:rPr>
      </w:pPr>
      <w:r w:rsidRPr="00004CF8">
        <w:rPr>
          <w:rFonts w:ascii="Calibri" w:hAnsi="Calibri" w:cs="Arial"/>
          <w:sz w:val="20"/>
          <w:szCs w:val="20"/>
        </w:rPr>
        <w:t>Real Gross Domestic Product growth for the first quarter of 2015 was lower than expected at 5.2 percent due to lower government spending and weak exports; but it was still the third fastest in Asia, after China and Vietnam.</w:t>
      </w:r>
    </w:p>
    <w:p w14:paraId="78B18A03" w14:textId="1E79A334" w:rsidR="002007BE" w:rsidRPr="00004CF8" w:rsidRDefault="00AE1059" w:rsidP="00AE1059">
      <w:pPr>
        <w:pStyle w:val="ListParagraph"/>
        <w:numPr>
          <w:ilvl w:val="1"/>
          <w:numId w:val="1"/>
        </w:numPr>
        <w:ind w:left="720"/>
        <w:rPr>
          <w:rFonts w:ascii="Calibri" w:hAnsi="Calibri" w:cs="Arial"/>
          <w:b/>
          <w:sz w:val="20"/>
          <w:szCs w:val="20"/>
        </w:rPr>
      </w:pPr>
      <w:r w:rsidRPr="00004CF8">
        <w:rPr>
          <w:rFonts w:ascii="Calibri" w:hAnsi="Calibri" w:cs="Arial"/>
          <w:sz w:val="20"/>
          <w:szCs w:val="20"/>
          <w:u w:val="single"/>
        </w:rPr>
        <w:t>Supply side drivers:</w:t>
      </w:r>
      <w:r w:rsidRPr="00004CF8">
        <w:rPr>
          <w:rFonts w:ascii="Calibri" w:hAnsi="Calibri" w:cs="Arial"/>
          <w:sz w:val="20"/>
          <w:szCs w:val="20"/>
        </w:rPr>
        <w:t xml:space="preserve"> Strong performance of the services sector (5.6% year-on-year growth), particularly the transportation, communication and storage</w:t>
      </w:r>
      <w:r w:rsidR="002007BE" w:rsidRPr="00004CF8">
        <w:rPr>
          <w:rFonts w:ascii="Calibri" w:hAnsi="Calibri" w:cs="Arial"/>
          <w:sz w:val="20"/>
          <w:szCs w:val="20"/>
        </w:rPr>
        <w:t xml:space="preserve"> </w:t>
      </w:r>
      <w:r w:rsidRPr="00004CF8">
        <w:rPr>
          <w:rFonts w:ascii="Calibri" w:hAnsi="Calibri" w:cs="Arial"/>
          <w:sz w:val="20"/>
          <w:szCs w:val="20"/>
        </w:rPr>
        <w:t>(8.6%); real estate, renting and business activities (6.4%); and other services (5.8%); and robust growth of industry sector (5.5%).</w:t>
      </w:r>
    </w:p>
    <w:p w14:paraId="14F1E20C" w14:textId="40BCE3A8" w:rsidR="00AE1059" w:rsidRPr="00004CF8" w:rsidRDefault="00AE1059" w:rsidP="00AE1059">
      <w:pPr>
        <w:pStyle w:val="ListParagraph"/>
        <w:numPr>
          <w:ilvl w:val="0"/>
          <w:numId w:val="1"/>
        </w:numPr>
        <w:rPr>
          <w:rFonts w:ascii="Calibri" w:hAnsi="Calibri" w:cs="Arial"/>
          <w:b/>
          <w:sz w:val="20"/>
          <w:szCs w:val="20"/>
        </w:rPr>
      </w:pPr>
      <w:r w:rsidRPr="00004CF8">
        <w:rPr>
          <w:rFonts w:ascii="Calibri" w:hAnsi="Calibri" w:cs="Arial"/>
          <w:sz w:val="20"/>
          <w:szCs w:val="20"/>
          <w:u w:val="single"/>
        </w:rPr>
        <w:t>Demand side drivers:</w:t>
      </w:r>
      <w:r w:rsidRPr="00004CF8">
        <w:rPr>
          <w:rFonts w:ascii="Calibri" w:hAnsi="Calibri" w:cs="Arial"/>
          <w:sz w:val="20"/>
          <w:szCs w:val="20"/>
        </w:rPr>
        <w:t xml:space="preserve"> increased </w:t>
      </w:r>
      <w:r w:rsidR="00097D12" w:rsidRPr="00004CF8">
        <w:rPr>
          <w:rFonts w:ascii="Calibri" w:hAnsi="Calibri" w:cs="Arial"/>
          <w:sz w:val="20"/>
          <w:szCs w:val="20"/>
        </w:rPr>
        <w:t xml:space="preserve">consumer spending (5.4% year-on-year growth), reinforced by fixed capital (10.1%), particularly durable equipment (14.3%). </w:t>
      </w:r>
    </w:p>
    <w:p w14:paraId="67DA6761" w14:textId="77777777" w:rsidR="00097D12" w:rsidRPr="00004CF8" w:rsidRDefault="00097D12" w:rsidP="00097D12">
      <w:pPr>
        <w:rPr>
          <w:rFonts w:ascii="Calibri" w:hAnsi="Calibri" w:cs="Arial"/>
          <w:sz w:val="20"/>
          <w:szCs w:val="20"/>
        </w:rPr>
      </w:pPr>
    </w:p>
    <w:p w14:paraId="5D6F94AE" w14:textId="212C2522" w:rsidR="00097D12" w:rsidRPr="00004CF8" w:rsidRDefault="00097D12" w:rsidP="00097D12">
      <w:pPr>
        <w:rPr>
          <w:rFonts w:ascii="Calibri" w:hAnsi="Calibri" w:cs="Arial"/>
          <w:sz w:val="20"/>
          <w:szCs w:val="20"/>
        </w:rPr>
      </w:pPr>
      <w:r w:rsidRPr="00004CF8">
        <w:rPr>
          <w:rFonts w:ascii="Calibri" w:hAnsi="Calibri" w:cs="Arial"/>
          <w:b/>
          <w:sz w:val="20"/>
          <w:szCs w:val="20"/>
        </w:rPr>
        <w:t>Monetary sector</w:t>
      </w:r>
    </w:p>
    <w:p w14:paraId="35BB32DA" w14:textId="05F57FC6" w:rsidR="00097D12" w:rsidRPr="00004CF8" w:rsidRDefault="00097D12" w:rsidP="00097D12">
      <w:pPr>
        <w:pStyle w:val="ListParagraph"/>
        <w:numPr>
          <w:ilvl w:val="0"/>
          <w:numId w:val="2"/>
        </w:numPr>
        <w:ind w:left="360"/>
        <w:rPr>
          <w:rFonts w:ascii="Calibri" w:hAnsi="Calibri" w:cs="Arial"/>
          <w:sz w:val="20"/>
          <w:szCs w:val="20"/>
        </w:rPr>
      </w:pPr>
      <w:r w:rsidRPr="00004CF8">
        <w:rPr>
          <w:rFonts w:ascii="Calibri" w:hAnsi="Calibri" w:cs="Arial"/>
          <w:sz w:val="20"/>
          <w:szCs w:val="20"/>
        </w:rPr>
        <w:t xml:space="preserve">In June 2015, inflation decelerated further to 1.2 percent from 1.6 percent in May 2015. This was mainly due to the slower increases in prices of food items (i.e., rice, meat, milk, fish, oils, and fruits) as a result of adequate domestic supply. </w:t>
      </w:r>
    </w:p>
    <w:p w14:paraId="69236CDF" w14:textId="77777777" w:rsidR="00097D12" w:rsidRPr="00004CF8" w:rsidRDefault="00097D12" w:rsidP="00097D12">
      <w:pPr>
        <w:rPr>
          <w:rFonts w:ascii="Calibri" w:hAnsi="Calibri" w:cs="Arial"/>
          <w:sz w:val="20"/>
          <w:szCs w:val="20"/>
        </w:rPr>
      </w:pPr>
    </w:p>
    <w:p w14:paraId="0660B323" w14:textId="4886B30B" w:rsidR="00097D12" w:rsidRPr="00004CF8" w:rsidRDefault="00097D12" w:rsidP="00097D12">
      <w:pPr>
        <w:pStyle w:val="ListParagraph"/>
        <w:numPr>
          <w:ilvl w:val="0"/>
          <w:numId w:val="2"/>
        </w:numPr>
        <w:ind w:left="360"/>
        <w:rPr>
          <w:rFonts w:ascii="Calibri" w:hAnsi="Calibri" w:cs="Arial"/>
          <w:sz w:val="20"/>
          <w:szCs w:val="20"/>
        </w:rPr>
      </w:pPr>
      <w:r w:rsidRPr="00004CF8">
        <w:rPr>
          <w:rFonts w:ascii="Calibri" w:hAnsi="Calibri" w:cs="Arial"/>
          <w:sz w:val="20"/>
          <w:szCs w:val="20"/>
        </w:rPr>
        <w:t xml:space="preserve">Year-to-date average inflation rate at 2.0 percent was at the lower end of the government’s 3.0 percent ± 1.0 percentage point target range in 2015 to 2016. The government also approved an inflation target of 3.0 percent ± 1.0 percentage point for 2017 to 2018. </w:t>
      </w:r>
    </w:p>
    <w:p w14:paraId="70A02724" w14:textId="77777777" w:rsidR="00097D12" w:rsidRPr="00004CF8" w:rsidRDefault="00097D12" w:rsidP="00097D12">
      <w:pPr>
        <w:rPr>
          <w:rFonts w:ascii="Calibri" w:hAnsi="Calibri" w:cs="Arial"/>
          <w:sz w:val="20"/>
          <w:szCs w:val="20"/>
        </w:rPr>
      </w:pPr>
    </w:p>
    <w:p w14:paraId="36337F1C" w14:textId="58B32FBF" w:rsidR="00097D12" w:rsidRPr="00004CF8" w:rsidRDefault="00097D12" w:rsidP="00097D12">
      <w:pPr>
        <w:pStyle w:val="ListParagraph"/>
        <w:numPr>
          <w:ilvl w:val="0"/>
          <w:numId w:val="2"/>
        </w:numPr>
        <w:ind w:left="360"/>
        <w:rPr>
          <w:rFonts w:ascii="Calibri" w:hAnsi="Calibri" w:cs="Arial"/>
          <w:sz w:val="20"/>
          <w:szCs w:val="20"/>
        </w:rPr>
      </w:pPr>
      <w:r w:rsidRPr="00004CF8">
        <w:rPr>
          <w:rFonts w:ascii="Calibri" w:hAnsi="Calibri" w:cs="Arial"/>
          <w:sz w:val="20"/>
          <w:szCs w:val="20"/>
        </w:rPr>
        <w:t xml:space="preserve">Risks to future inflation continue to be broadly balanced. Inflation is projected to fall within target range in 2015 to 2016. </w:t>
      </w:r>
    </w:p>
    <w:p w14:paraId="36337F1C" w14:textId="58B32FBF" w:rsidR="00097D12" w:rsidRPr="00004CF8" w:rsidRDefault="00097D12" w:rsidP="00004CF8">
      <w:pPr>
        <w:pStyle w:val="ListParagraph"/>
        <w:numPr>
          <w:ilvl w:val="0"/>
          <w:numId w:val="3"/>
        </w:numPr>
        <w:ind w:left="720"/>
        <w:rPr>
          <w:rFonts w:ascii="Calibri" w:hAnsi="Calibri" w:cs="Arial"/>
          <w:sz w:val="20"/>
          <w:szCs w:val="20"/>
        </w:rPr>
      </w:pPr>
      <w:r w:rsidRPr="00004CF8">
        <w:rPr>
          <w:rFonts w:ascii="Calibri" w:hAnsi="Calibri" w:cs="Arial"/>
          <w:sz w:val="20"/>
          <w:szCs w:val="20"/>
          <w:u w:val="single"/>
        </w:rPr>
        <w:t>Upside risks:</w:t>
      </w:r>
      <w:r w:rsidRPr="00004CF8">
        <w:rPr>
          <w:rFonts w:ascii="Calibri" w:hAnsi="Calibri" w:cs="Arial"/>
          <w:sz w:val="20"/>
          <w:szCs w:val="20"/>
        </w:rPr>
        <w:t xml:space="preserve"> Pending petitions for power rate adjustments and the potential impact of stronger-than-expected El Niño weather condition on food prices and utility rates. </w:t>
      </w:r>
    </w:p>
    <w:p w14:paraId="6A771894" w14:textId="49E328AF" w:rsidR="00097D12" w:rsidRPr="00004CF8" w:rsidRDefault="00097D12" w:rsidP="00097D12">
      <w:pPr>
        <w:pStyle w:val="ListParagraph"/>
        <w:numPr>
          <w:ilvl w:val="0"/>
          <w:numId w:val="3"/>
        </w:numPr>
        <w:ind w:left="720"/>
        <w:rPr>
          <w:rFonts w:ascii="Calibri" w:hAnsi="Calibri" w:cs="Arial"/>
          <w:sz w:val="20"/>
          <w:szCs w:val="20"/>
        </w:rPr>
      </w:pPr>
      <w:r w:rsidRPr="00004CF8">
        <w:rPr>
          <w:rFonts w:ascii="Calibri" w:hAnsi="Calibri" w:cs="Arial"/>
          <w:sz w:val="20"/>
          <w:szCs w:val="20"/>
          <w:u w:val="single"/>
        </w:rPr>
        <w:t>Downside risk:</w:t>
      </w:r>
      <w:r w:rsidRPr="00004CF8">
        <w:rPr>
          <w:rFonts w:ascii="Calibri" w:hAnsi="Calibri" w:cs="Arial"/>
          <w:sz w:val="20"/>
          <w:szCs w:val="20"/>
        </w:rPr>
        <w:t xml:space="preserve"> Slower-than-expected global economic activity. </w:t>
      </w:r>
    </w:p>
    <w:p w14:paraId="05EF56D7" w14:textId="77777777" w:rsidR="00097D12" w:rsidRPr="00004CF8" w:rsidRDefault="00097D12" w:rsidP="00097D12">
      <w:pPr>
        <w:rPr>
          <w:rFonts w:ascii="Calibri" w:hAnsi="Calibri" w:cs="Arial"/>
          <w:sz w:val="20"/>
          <w:szCs w:val="20"/>
        </w:rPr>
      </w:pPr>
    </w:p>
    <w:p w14:paraId="063B2619" w14:textId="2631364B" w:rsidR="00097D12" w:rsidRPr="00004CF8" w:rsidRDefault="00097D12" w:rsidP="00097D12">
      <w:pPr>
        <w:rPr>
          <w:rFonts w:ascii="Calibri" w:hAnsi="Calibri" w:cs="Arial"/>
          <w:b/>
          <w:sz w:val="20"/>
          <w:szCs w:val="20"/>
        </w:rPr>
      </w:pPr>
      <w:r w:rsidRPr="00004CF8">
        <w:rPr>
          <w:rFonts w:ascii="Calibri" w:hAnsi="Calibri" w:cs="Arial"/>
          <w:b/>
          <w:sz w:val="20"/>
          <w:szCs w:val="20"/>
        </w:rPr>
        <w:t>External sector</w:t>
      </w:r>
    </w:p>
    <w:p w14:paraId="35994A9D" w14:textId="209841D0" w:rsidR="00097D12" w:rsidRPr="00004CF8" w:rsidRDefault="00097D12" w:rsidP="00097D12">
      <w:pPr>
        <w:pStyle w:val="ListParagraph"/>
        <w:numPr>
          <w:ilvl w:val="0"/>
          <w:numId w:val="5"/>
        </w:numPr>
        <w:ind w:left="360"/>
        <w:rPr>
          <w:rFonts w:ascii="Calibri" w:hAnsi="Calibri" w:cs="Arial"/>
          <w:b/>
          <w:sz w:val="20"/>
          <w:szCs w:val="20"/>
        </w:rPr>
      </w:pPr>
      <w:r w:rsidRPr="00004CF8">
        <w:rPr>
          <w:rFonts w:ascii="Calibri" w:hAnsi="Calibri" w:cs="Arial"/>
          <w:sz w:val="20"/>
          <w:szCs w:val="20"/>
          <w:u w:val="single"/>
        </w:rPr>
        <w:t>Personal remittances from OFs</w:t>
      </w:r>
      <w:r w:rsidRPr="00004CF8">
        <w:rPr>
          <w:rFonts w:ascii="Calibri" w:hAnsi="Calibri" w:cs="Arial"/>
          <w:sz w:val="20"/>
          <w:szCs w:val="20"/>
        </w:rPr>
        <w:t xml:space="preserve"> for January to May 2015 reached US$</w:t>
      </w:r>
      <w:r w:rsidR="008B0575" w:rsidRPr="00004CF8">
        <w:rPr>
          <w:rFonts w:ascii="Calibri" w:hAnsi="Calibri" w:cs="Arial"/>
          <w:sz w:val="20"/>
          <w:szCs w:val="20"/>
        </w:rPr>
        <w:t xml:space="preserve">11.0 billion, higher by 5.2 percent year-on-year. </w:t>
      </w:r>
    </w:p>
    <w:p w14:paraId="065FB465" w14:textId="77777777" w:rsidR="008B0575" w:rsidRPr="00004CF8" w:rsidRDefault="008B0575" w:rsidP="008B0575">
      <w:pPr>
        <w:rPr>
          <w:rFonts w:ascii="Calibri" w:hAnsi="Calibri" w:cs="Arial"/>
          <w:sz w:val="20"/>
          <w:szCs w:val="20"/>
        </w:rPr>
      </w:pPr>
    </w:p>
    <w:p w14:paraId="6D1C09FB" w14:textId="6E27C63C" w:rsidR="008B0575" w:rsidRPr="00004CF8" w:rsidRDefault="008B0575" w:rsidP="008B0575">
      <w:pPr>
        <w:pStyle w:val="ListParagraph"/>
        <w:numPr>
          <w:ilvl w:val="0"/>
          <w:numId w:val="5"/>
        </w:numPr>
        <w:ind w:left="360"/>
        <w:rPr>
          <w:rFonts w:ascii="Calibri" w:hAnsi="Calibri" w:cs="Arial"/>
          <w:b/>
          <w:sz w:val="20"/>
          <w:szCs w:val="20"/>
        </w:rPr>
      </w:pPr>
      <w:r w:rsidRPr="00004CF8">
        <w:rPr>
          <w:rFonts w:ascii="Calibri" w:hAnsi="Calibri" w:cs="Arial"/>
          <w:sz w:val="20"/>
          <w:szCs w:val="20"/>
          <w:u w:val="single"/>
        </w:rPr>
        <w:t>International reserves</w:t>
      </w:r>
      <w:r w:rsidRPr="00004CF8">
        <w:rPr>
          <w:rFonts w:ascii="Calibri" w:hAnsi="Calibri" w:cs="Arial"/>
          <w:sz w:val="20"/>
          <w:szCs w:val="20"/>
        </w:rPr>
        <w:t xml:space="preserve"> was at US$80.6 billion as of end-June 2015, which was sufficient to cover 10.6 month’s worth of imports of goods and payments of services. </w:t>
      </w:r>
    </w:p>
    <w:p w14:paraId="19266BD0" w14:textId="77777777" w:rsidR="008B0575" w:rsidRPr="00004CF8" w:rsidRDefault="008B0575" w:rsidP="008B0575">
      <w:pPr>
        <w:rPr>
          <w:rFonts w:ascii="Calibri" w:hAnsi="Calibri" w:cs="Arial"/>
          <w:b/>
          <w:sz w:val="20"/>
          <w:szCs w:val="20"/>
        </w:rPr>
      </w:pPr>
    </w:p>
    <w:p w14:paraId="535F50E9" w14:textId="4F7E4139" w:rsidR="008B0575" w:rsidRPr="00004CF8" w:rsidRDefault="008B0575" w:rsidP="008B0575">
      <w:pPr>
        <w:pStyle w:val="ListParagraph"/>
        <w:numPr>
          <w:ilvl w:val="0"/>
          <w:numId w:val="5"/>
        </w:numPr>
        <w:ind w:left="360"/>
        <w:rPr>
          <w:rFonts w:ascii="Calibri" w:hAnsi="Calibri" w:cs="Arial"/>
          <w:b/>
          <w:sz w:val="20"/>
          <w:szCs w:val="20"/>
        </w:rPr>
      </w:pPr>
      <w:r w:rsidRPr="00004CF8">
        <w:rPr>
          <w:rFonts w:ascii="Calibri" w:hAnsi="Calibri" w:cs="Arial"/>
          <w:sz w:val="20"/>
          <w:szCs w:val="20"/>
          <w:u w:val="single"/>
        </w:rPr>
        <w:t>External debt-to-GDP</w:t>
      </w:r>
      <w:r w:rsidRPr="00004CF8">
        <w:rPr>
          <w:rFonts w:ascii="Calibri" w:hAnsi="Calibri" w:cs="Arial"/>
          <w:sz w:val="20"/>
          <w:szCs w:val="20"/>
        </w:rPr>
        <w:t xml:space="preserve"> ratio declined from 52.7 percent in 2005 to around 26.1 percent as of end-March 2015.</w:t>
      </w:r>
    </w:p>
    <w:p w14:paraId="3999152E" w14:textId="77777777" w:rsidR="008B0575" w:rsidRPr="00004CF8" w:rsidRDefault="008B0575" w:rsidP="008B0575">
      <w:pPr>
        <w:rPr>
          <w:rFonts w:ascii="Calibri" w:hAnsi="Calibri" w:cs="Arial"/>
          <w:b/>
          <w:sz w:val="20"/>
          <w:szCs w:val="20"/>
        </w:rPr>
      </w:pPr>
    </w:p>
    <w:p w14:paraId="2FB1B51F" w14:textId="23378D71" w:rsidR="008B0575" w:rsidRPr="00004CF8" w:rsidRDefault="008B0575" w:rsidP="008B0575">
      <w:pPr>
        <w:pStyle w:val="ListParagraph"/>
        <w:numPr>
          <w:ilvl w:val="0"/>
          <w:numId w:val="5"/>
        </w:numPr>
        <w:ind w:left="360"/>
        <w:rPr>
          <w:rFonts w:ascii="Calibri" w:hAnsi="Calibri" w:cs="Arial"/>
          <w:b/>
          <w:sz w:val="20"/>
          <w:szCs w:val="20"/>
        </w:rPr>
      </w:pPr>
      <w:r w:rsidRPr="00004CF8">
        <w:rPr>
          <w:rFonts w:ascii="Calibri" w:hAnsi="Calibri" w:cs="Arial"/>
          <w:sz w:val="20"/>
          <w:szCs w:val="20"/>
        </w:rPr>
        <w:t xml:space="preserve">On a year-to-date basis, the </w:t>
      </w:r>
      <w:r w:rsidRPr="00004CF8">
        <w:rPr>
          <w:rFonts w:ascii="Calibri" w:hAnsi="Calibri" w:cs="Arial"/>
          <w:sz w:val="20"/>
          <w:szCs w:val="20"/>
          <w:u w:val="single"/>
        </w:rPr>
        <w:t>peso</w:t>
      </w:r>
      <w:r w:rsidRPr="00004CF8">
        <w:rPr>
          <w:rFonts w:ascii="Calibri" w:hAnsi="Calibri" w:cs="Arial"/>
          <w:sz w:val="20"/>
          <w:szCs w:val="20"/>
        </w:rPr>
        <w:t xml:space="preserve"> depreciated against the US dollar by 2.0 percent on 30 J</w:t>
      </w:r>
      <w:r w:rsidR="00EC46FB" w:rsidRPr="00004CF8">
        <w:rPr>
          <w:rFonts w:ascii="Calibri" w:hAnsi="Calibri" w:cs="Arial"/>
          <w:sz w:val="20"/>
          <w:szCs w:val="20"/>
        </w:rPr>
        <w:t>uly 2015 as it closed at P45.25/ US$1, moving in tandem with other Asian currencies except for the New Taiwan dollar, which appreciated vis-à-vis the US Dollar.</w:t>
      </w:r>
      <w:r w:rsidR="004C59DE" w:rsidRPr="00004CF8">
        <w:rPr>
          <w:rStyle w:val="FootnoteReference"/>
          <w:rFonts w:ascii="Calibri" w:hAnsi="Calibri" w:cs="Arial"/>
          <w:sz w:val="20"/>
          <w:szCs w:val="20"/>
        </w:rPr>
        <w:footnoteReference w:id="1"/>
      </w:r>
    </w:p>
    <w:p w14:paraId="00EF981B" w14:textId="77777777" w:rsidR="004C59DE" w:rsidRPr="00004CF8" w:rsidRDefault="004C59DE" w:rsidP="004C59DE">
      <w:pPr>
        <w:rPr>
          <w:rFonts w:ascii="Calibri" w:hAnsi="Calibri" w:cs="Arial"/>
          <w:b/>
          <w:sz w:val="20"/>
          <w:szCs w:val="20"/>
        </w:rPr>
      </w:pPr>
    </w:p>
    <w:p w14:paraId="51319D7A" w14:textId="0E68F90B" w:rsidR="004C59DE" w:rsidRPr="00004CF8" w:rsidRDefault="00EC46FB" w:rsidP="004C59DE">
      <w:pPr>
        <w:pStyle w:val="ListParagraph"/>
        <w:numPr>
          <w:ilvl w:val="0"/>
          <w:numId w:val="5"/>
        </w:numPr>
        <w:ind w:left="360"/>
        <w:rPr>
          <w:rFonts w:ascii="Calibri" w:hAnsi="Calibri" w:cs="Arial"/>
          <w:sz w:val="20"/>
          <w:szCs w:val="20"/>
        </w:rPr>
      </w:pPr>
      <w:r w:rsidRPr="00004CF8">
        <w:rPr>
          <w:rFonts w:ascii="Calibri" w:hAnsi="Calibri" w:cs="Arial"/>
          <w:sz w:val="20"/>
          <w:szCs w:val="20"/>
        </w:rPr>
        <w:t>Commodity prices: (US$/MT)</w:t>
      </w:r>
    </w:p>
    <w:tbl>
      <w:tblPr>
        <w:tblStyle w:val="TableGrid"/>
        <w:tblW w:w="0" w:type="auto"/>
        <w:tblInd w:w="468" w:type="dxa"/>
        <w:tblLook w:val="04A0" w:firstRow="1" w:lastRow="0" w:firstColumn="1" w:lastColumn="0" w:noHBand="0" w:noVBand="1"/>
      </w:tblPr>
      <w:tblGrid>
        <w:gridCol w:w="1746"/>
        <w:gridCol w:w="1674"/>
        <w:gridCol w:w="1800"/>
        <w:gridCol w:w="3168"/>
      </w:tblGrid>
      <w:tr w:rsidR="004C59DE" w:rsidRPr="00004CF8" w14:paraId="77936471" w14:textId="77777777" w:rsidTr="004C59DE">
        <w:tc>
          <w:tcPr>
            <w:tcW w:w="1746" w:type="dxa"/>
          </w:tcPr>
          <w:p w14:paraId="3FE2710F" w14:textId="6C26C926" w:rsidR="004C59DE" w:rsidRPr="00004CF8" w:rsidRDefault="004C59DE" w:rsidP="004C59DE">
            <w:pPr>
              <w:rPr>
                <w:rFonts w:ascii="Calibri" w:hAnsi="Calibri" w:cs="Arial"/>
                <w:b/>
                <w:sz w:val="20"/>
                <w:szCs w:val="20"/>
              </w:rPr>
            </w:pPr>
            <w:r w:rsidRPr="00004CF8">
              <w:rPr>
                <w:rFonts w:ascii="Calibri" w:hAnsi="Calibri" w:cs="Arial"/>
                <w:b/>
                <w:sz w:val="20"/>
                <w:szCs w:val="20"/>
              </w:rPr>
              <w:t>Commodity*</w:t>
            </w:r>
          </w:p>
        </w:tc>
        <w:tc>
          <w:tcPr>
            <w:tcW w:w="1674" w:type="dxa"/>
          </w:tcPr>
          <w:p w14:paraId="6D1829CF" w14:textId="26FFB2D0" w:rsidR="004C59DE" w:rsidRPr="00004CF8" w:rsidRDefault="004C59DE" w:rsidP="004C59DE">
            <w:pPr>
              <w:jc w:val="center"/>
              <w:rPr>
                <w:rFonts w:ascii="Calibri" w:hAnsi="Calibri" w:cs="Arial"/>
                <w:b/>
                <w:sz w:val="20"/>
                <w:szCs w:val="20"/>
              </w:rPr>
            </w:pPr>
            <w:r w:rsidRPr="00004CF8">
              <w:rPr>
                <w:rFonts w:ascii="Calibri" w:hAnsi="Calibri" w:cs="Arial"/>
                <w:b/>
                <w:sz w:val="20"/>
                <w:szCs w:val="20"/>
              </w:rPr>
              <w:t>June 2015</w:t>
            </w:r>
          </w:p>
        </w:tc>
        <w:tc>
          <w:tcPr>
            <w:tcW w:w="1800" w:type="dxa"/>
          </w:tcPr>
          <w:p w14:paraId="5308D07A" w14:textId="3A7BA0B7" w:rsidR="004C59DE" w:rsidRPr="00004CF8" w:rsidRDefault="004C59DE" w:rsidP="004C59DE">
            <w:pPr>
              <w:jc w:val="center"/>
              <w:rPr>
                <w:rFonts w:ascii="Calibri" w:hAnsi="Calibri" w:cs="Arial"/>
                <w:b/>
                <w:sz w:val="20"/>
                <w:szCs w:val="20"/>
              </w:rPr>
            </w:pPr>
            <w:r w:rsidRPr="00004CF8">
              <w:rPr>
                <w:rFonts w:ascii="Calibri" w:hAnsi="Calibri" w:cs="Arial"/>
                <w:b/>
                <w:sz w:val="20"/>
                <w:szCs w:val="20"/>
              </w:rPr>
              <w:t>May 2015</w:t>
            </w:r>
          </w:p>
        </w:tc>
        <w:tc>
          <w:tcPr>
            <w:tcW w:w="3168" w:type="dxa"/>
          </w:tcPr>
          <w:p w14:paraId="1432AFEA" w14:textId="6457198C" w:rsidR="004C59DE" w:rsidRPr="00004CF8" w:rsidRDefault="004C59DE" w:rsidP="004C59DE">
            <w:pPr>
              <w:jc w:val="center"/>
              <w:rPr>
                <w:rFonts w:ascii="Calibri" w:hAnsi="Calibri" w:cs="Arial"/>
                <w:b/>
                <w:sz w:val="20"/>
                <w:szCs w:val="20"/>
              </w:rPr>
            </w:pPr>
            <w:r w:rsidRPr="00004CF8">
              <w:rPr>
                <w:rFonts w:ascii="Calibri" w:hAnsi="Calibri" w:cs="Arial"/>
                <w:b/>
                <w:sz w:val="20"/>
                <w:szCs w:val="20"/>
              </w:rPr>
              <w:t>% Change (month-on-month)</w:t>
            </w:r>
          </w:p>
        </w:tc>
      </w:tr>
      <w:tr w:rsidR="004C59DE" w:rsidRPr="00004CF8" w14:paraId="15F8F3DD" w14:textId="77777777" w:rsidTr="004C59DE">
        <w:tc>
          <w:tcPr>
            <w:tcW w:w="1746" w:type="dxa"/>
          </w:tcPr>
          <w:p w14:paraId="6C814B58" w14:textId="581C0E77" w:rsidR="004C59DE" w:rsidRPr="00004CF8" w:rsidRDefault="004C59DE" w:rsidP="004C59DE">
            <w:pPr>
              <w:rPr>
                <w:rFonts w:ascii="Calibri" w:hAnsi="Calibri" w:cs="Arial"/>
                <w:sz w:val="20"/>
                <w:szCs w:val="20"/>
              </w:rPr>
            </w:pPr>
            <w:r w:rsidRPr="00004CF8">
              <w:rPr>
                <w:rFonts w:ascii="Calibri" w:hAnsi="Calibri" w:cs="Arial"/>
                <w:sz w:val="20"/>
                <w:szCs w:val="20"/>
              </w:rPr>
              <w:t>Copra</w:t>
            </w:r>
          </w:p>
        </w:tc>
        <w:tc>
          <w:tcPr>
            <w:tcW w:w="1674" w:type="dxa"/>
          </w:tcPr>
          <w:p w14:paraId="37345865" w14:textId="590D9AE6" w:rsidR="004C59DE" w:rsidRPr="00004CF8" w:rsidRDefault="004C59DE" w:rsidP="004C59DE">
            <w:pPr>
              <w:jc w:val="right"/>
              <w:rPr>
                <w:rFonts w:ascii="Calibri" w:hAnsi="Calibri" w:cs="Arial"/>
                <w:sz w:val="20"/>
                <w:szCs w:val="20"/>
              </w:rPr>
            </w:pPr>
            <w:r w:rsidRPr="00004CF8">
              <w:rPr>
                <w:rFonts w:ascii="Calibri" w:hAnsi="Calibri" w:cs="Arial"/>
                <w:sz w:val="20"/>
                <w:szCs w:val="20"/>
              </w:rPr>
              <w:t>740</w:t>
            </w:r>
          </w:p>
        </w:tc>
        <w:tc>
          <w:tcPr>
            <w:tcW w:w="1800" w:type="dxa"/>
          </w:tcPr>
          <w:p w14:paraId="6E2FE40B" w14:textId="61CE5C07" w:rsidR="004C59DE" w:rsidRPr="00004CF8" w:rsidRDefault="004C59DE" w:rsidP="004C59DE">
            <w:pPr>
              <w:jc w:val="right"/>
              <w:rPr>
                <w:rFonts w:ascii="Calibri" w:hAnsi="Calibri" w:cs="Arial"/>
                <w:sz w:val="20"/>
                <w:szCs w:val="20"/>
              </w:rPr>
            </w:pPr>
            <w:r w:rsidRPr="00004CF8">
              <w:rPr>
                <w:rFonts w:ascii="Calibri" w:hAnsi="Calibri" w:cs="Arial"/>
                <w:sz w:val="20"/>
                <w:szCs w:val="20"/>
              </w:rPr>
              <w:t>748</w:t>
            </w:r>
          </w:p>
        </w:tc>
        <w:tc>
          <w:tcPr>
            <w:tcW w:w="3168" w:type="dxa"/>
          </w:tcPr>
          <w:p w14:paraId="3E4C7388" w14:textId="4C1B1EC9" w:rsidR="004C59DE" w:rsidRPr="00004CF8" w:rsidRDefault="004C59DE" w:rsidP="004C59DE">
            <w:pPr>
              <w:jc w:val="right"/>
              <w:rPr>
                <w:rFonts w:ascii="Calibri" w:hAnsi="Calibri" w:cs="Arial"/>
                <w:sz w:val="20"/>
                <w:szCs w:val="20"/>
              </w:rPr>
            </w:pPr>
            <w:r w:rsidRPr="00004CF8">
              <w:rPr>
                <w:rFonts w:ascii="Calibri" w:hAnsi="Calibri" w:cs="Arial"/>
                <w:sz w:val="20"/>
                <w:szCs w:val="20"/>
              </w:rPr>
              <w:t>(1.1%)</w:t>
            </w:r>
          </w:p>
        </w:tc>
      </w:tr>
      <w:tr w:rsidR="004C59DE" w:rsidRPr="00004CF8" w14:paraId="4BA91F4B" w14:textId="77777777" w:rsidTr="004C59DE">
        <w:tc>
          <w:tcPr>
            <w:tcW w:w="1746" w:type="dxa"/>
          </w:tcPr>
          <w:p w14:paraId="0AB01565" w14:textId="4763C1C6" w:rsidR="004C59DE" w:rsidRPr="00004CF8" w:rsidRDefault="004C59DE" w:rsidP="004C59DE">
            <w:pPr>
              <w:rPr>
                <w:rFonts w:ascii="Calibri" w:hAnsi="Calibri" w:cs="Arial"/>
                <w:sz w:val="20"/>
                <w:szCs w:val="20"/>
              </w:rPr>
            </w:pPr>
            <w:r w:rsidRPr="00004CF8">
              <w:rPr>
                <w:rFonts w:ascii="Calibri" w:hAnsi="Calibri" w:cs="Arial"/>
                <w:sz w:val="20"/>
                <w:szCs w:val="20"/>
              </w:rPr>
              <w:t>Refined Sugar</w:t>
            </w:r>
          </w:p>
        </w:tc>
        <w:tc>
          <w:tcPr>
            <w:tcW w:w="1674" w:type="dxa"/>
          </w:tcPr>
          <w:p w14:paraId="20316855" w14:textId="79FC5ED0" w:rsidR="004C59DE" w:rsidRPr="00004CF8" w:rsidRDefault="004C59DE" w:rsidP="004C59DE">
            <w:pPr>
              <w:jc w:val="right"/>
              <w:rPr>
                <w:rFonts w:ascii="Calibri" w:hAnsi="Calibri" w:cs="Arial"/>
                <w:sz w:val="20"/>
                <w:szCs w:val="20"/>
              </w:rPr>
            </w:pPr>
            <w:r w:rsidRPr="00004CF8">
              <w:rPr>
                <w:rFonts w:ascii="Calibri" w:hAnsi="Calibri" w:cs="Arial"/>
                <w:sz w:val="20"/>
                <w:szCs w:val="20"/>
              </w:rPr>
              <w:t>270</w:t>
            </w:r>
          </w:p>
        </w:tc>
        <w:tc>
          <w:tcPr>
            <w:tcW w:w="1800" w:type="dxa"/>
          </w:tcPr>
          <w:p w14:paraId="227C57E7" w14:textId="44AD6C28" w:rsidR="004C59DE" w:rsidRPr="00004CF8" w:rsidRDefault="004C59DE" w:rsidP="004C59DE">
            <w:pPr>
              <w:jc w:val="right"/>
              <w:rPr>
                <w:rFonts w:ascii="Calibri" w:hAnsi="Calibri" w:cs="Arial"/>
                <w:sz w:val="20"/>
                <w:szCs w:val="20"/>
              </w:rPr>
            </w:pPr>
            <w:r w:rsidRPr="00004CF8">
              <w:rPr>
                <w:rFonts w:ascii="Calibri" w:hAnsi="Calibri" w:cs="Arial"/>
                <w:sz w:val="20"/>
                <w:szCs w:val="20"/>
              </w:rPr>
              <w:t>290</w:t>
            </w:r>
          </w:p>
        </w:tc>
        <w:tc>
          <w:tcPr>
            <w:tcW w:w="3168" w:type="dxa"/>
          </w:tcPr>
          <w:p w14:paraId="1744F649" w14:textId="4778E035" w:rsidR="004C59DE" w:rsidRPr="00004CF8" w:rsidRDefault="004C59DE" w:rsidP="004C59DE">
            <w:pPr>
              <w:jc w:val="right"/>
              <w:rPr>
                <w:rFonts w:ascii="Calibri" w:hAnsi="Calibri" w:cs="Arial"/>
                <w:sz w:val="20"/>
                <w:szCs w:val="20"/>
              </w:rPr>
            </w:pPr>
            <w:r w:rsidRPr="00004CF8">
              <w:rPr>
                <w:rFonts w:ascii="Calibri" w:hAnsi="Calibri" w:cs="Arial"/>
                <w:sz w:val="20"/>
                <w:szCs w:val="20"/>
              </w:rPr>
              <w:t>(6.9%)</w:t>
            </w:r>
          </w:p>
        </w:tc>
      </w:tr>
    </w:tbl>
    <w:p w14:paraId="742039E2" w14:textId="033E2D45" w:rsidR="004C59DE" w:rsidRDefault="004C59DE" w:rsidP="004C59DE">
      <w:pPr>
        <w:ind w:left="360"/>
        <w:rPr>
          <w:rFonts w:ascii="Calibri" w:hAnsi="Calibri" w:cs="Arial"/>
          <w:sz w:val="20"/>
          <w:szCs w:val="20"/>
        </w:rPr>
      </w:pPr>
      <w:r w:rsidRPr="00004CF8">
        <w:rPr>
          <w:rFonts w:ascii="Calibri" w:hAnsi="Calibri" w:cs="Arial"/>
          <w:sz w:val="20"/>
          <w:szCs w:val="20"/>
        </w:rPr>
        <w:t>*Source: World Bank Commodities Price Data released on 2 July 2015</w:t>
      </w:r>
    </w:p>
    <w:p w14:paraId="6D3BA4F3" w14:textId="77777777" w:rsidR="00004CF8" w:rsidRDefault="00004CF8" w:rsidP="004C59DE">
      <w:pPr>
        <w:ind w:left="360"/>
        <w:rPr>
          <w:rFonts w:ascii="Calibri" w:hAnsi="Calibri" w:cs="Arial"/>
          <w:sz w:val="20"/>
          <w:szCs w:val="20"/>
        </w:rPr>
      </w:pPr>
    </w:p>
    <w:p w14:paraId="2433F411" w14:textId="77777777" w:rsidR="00004CF8" w:rsidRDefault="00004CF8" w:rsidP="004C59DE">
      <w:pPr>
        <w:ind w:left="360"/>
        <w:rPr>
          <w:rFonts w:ascii="Calibri" w:hAnsi="Calibri" w:cs="Arial"/>
          <w:sz w:val="20"/>
          <w:szCs w:val="20"/>
        </w:rPr>
      </w:pPr>
    </w:p>
    <w:p w14:paraId="7826F854" w14:textId="77777777" w:rsidR="00004CF8" w:rsidRDefault="00004CF8" w:rsidP="004C59DE">
      <w:pPr>
        <w:ind w:left="360"/>
        <w:rPr>
          <w:rFonts w:ascii="Calibri" w:hAnsi="Calibri" w:cs="Arial"/>
          <w:sz w:val="20"/>
          <w:szCs w:val="20"/>
        </w:rPr>
      </w:pPr>
    </w:p>
    <w:p w14:paraId="0A11ABA6" w14:textId="77777777" w:rsidR="00004CF8" w:rsidRPr="00004CF8" w:rsidRDefault="00004CF8" w:rsidP="004C59DE">
      <w:pPr>
        <w:ind w:left="360"/>
        <w:rPr>
          <w:rFonts w:ascii="Calibri" w:hAnsi="Calibri" w:cs="Arial"/>
          <w:sz w:val="20"/>
          <w:szCs w:val="20"/>
        </w:rPr>
      </w:pPr>
    </w:p>
    <w:p w14:paraId="31B60A6B" w14:textId="63097074" w:rsidR="004C59DE" w:rsidRPr="00004CF8" w:rsidRDefault="004C59DE" w:rsidP="00004CF8">
      <w:pPr>
        <w:pStyle w:val="ListParagraph"/>
        <w:ind w:left="0"/>
        <w:rPr>
          <w:rFonts w:ascii="Calibri" w:hAnsi="Calibri" w:cs="Arial"/>
          <w:b/>
          <w:sz w:val="20"/>
          <w:szCs w:val="20"/>
        </w:rPr>
      </w:pPr>
      <w:r w:rsidRPr="00004CF8">
        <w:rPr>
          <w:rFonts w:ascii="Calibri" w:hAnsi="Calibri" w:cs="Arial"/>
          <w:b/>
          <w:sz w:val="20"/>
          <w:szCs w:val="20"/>
        </w:rPr>
        <w:lastRenderedPageBreak/>
        <w:t>Banking sector</w:t>
      </w:r>
    </w:p>
    <w:p w14:paraId="6DA160BF" w14:textId="7191AD93" w:rsidR="004C59DE" w:rsidRPr="00004CF8" w:rsidRDefault="004C59DE" w:rsidP="004C59DE">
      <w:pPr>
        <w:pStyle w:val="ListParagraph"/>
        <w:numPr>
          <w:ilvl w:val="0"/>
          <w:numId w:val="6"/>
        </w:numPr>
        <w:ind w:left="360"/>
        <w:rPr>
          <w:rFonts w:ascii="Calibri" w:hAnsi="Calibri" w:cs="Arial"/>
          <w:sz w:val="20"/>
          <w:szCs w:val="20"/>
        </w:rPr>
      </w:pPr>
      <w:r w:rsidRPr="00004CF8">
        <w:rPr>
          <w:rFonts w:ascii="Calibri" w:hAnsi="Calibri" w:cs="Arial"/>
          <w:sz w:val="20"/>
          <w:szCs w:val="20"/>
          <w:u w:val="single"/>
        </w:rPr>
        <w:t>Resources of the banking system</w:t>
      </w:r>
      <w:r w:rsidRPr="00004CF8">
        <w:rPr>
          <w:rFonts w:ascii="Calibri" w:hAnsi="Calibri" w:cs="Arial"/>
          <w:sz w:val="20"/>
          <w:szCs w:val="20"/>
        </w:rPr>
        <w:t xml:space="preserve"> declined slightly by 1.2 percent to P11.0</w:t>
      </w:r>
      <w:r w:rsidR="00E42350" w:rsidRPr="00004CF8">
        <w:rPr>
          <w:rFonts w:ascii="Calibri" w:hAnsi="Calibri" w:cs="Arial"/>
          <w:sz w:val="20"/>
          <w:szCs w:val="20"/>
        </w:rPr>
        <w:t xml:space="preserve"> trillion as of end-March 2015 from a quarter-ago but increased by 9.2 percent from the year-ago level. </w:t>
      </w:r>
    </w:p>
    <w:p w14:paraId="7CBCD25D" w14:textId="77777777" w:rsidR="00E42350" w:rsidRPr="00004CF8" w:rsidRDefault="00E42350" w:rsidP="00E42350">
      <w:pPr>
        <w:rPr>
          <w:rFonts w:ascii="Calibri" w:hAnsi="Calibri" w:cs="Arial"/>
          <w:sz w:val="20"/>
          <w:szCs w:val="20"/>
        </w:rPr>
      </w:pPr>
    </w:p>
    <w:p w14:paraId="4AEA80FC" w14:textId="3C67A41A" w:rsidR="00E42350" w:rsidRPr="00004CF8" w:rsidRDefault="00E42350" w:rsidP="00E42350">
      <w:pPr>
        <w:pStyle w:val="ListParagraph"/>
        <w:numPr>
          <w:ilvl w:val="0"/>
          <w:numId w:val="6"/>
        </w:numPr>
        <w:ind w:left="360"/>
        <w:rPr>
          <w:rFonts w:ascii="Calibri" w:hAnsi="Calibri" w:cs="Arial"/>
          <w:sz w:val="20"/>
          <w:szCs w:val="20"/>
        </w:rPr>
      </w:pPr>
      <w:r w:rsidRPr="00004CF8">
        <w:rPr>
          <w:rFonts w:ascii="Calibri" w:hAnsi="Calibri" w:cs="Arial"/>
          <w:sz w:val="20"/>
          <w:szCs w:val="20"/>
          <w:u w:val="single"/>
        </w:rPr>
        <w:t>The banking system is also adequately capitalized.</w:t>
      </w:r>
      <w:r w:rsidRPr="00004CF8">
        <w:rPr>
          <w:rFonts w:ascii="Calibri" w:hAnsi="Calibri" w:cs="Arial"/>
          <w:sz w:val="20"/>
          <w:szCs w:val="20"/>
        </w:rPr>
        <w:t xml:space="preserve"> The CAR of U/KBs at end-May 2015 stood at 16.3 percent and 17.0 percent on solo and consolidated bases, respectively, higher than the BSP (10%) and international (8%) standards. </w:t>
      </w:r>
    </w:p>
    <w:p w14:paraId="6F0F5262" w14:textId="77777777" w:rsidR="00E42350" w:rsidRPr="00004CF8" w:rsidRDefault="00E42350" w:rsidP="00E42350">
      <w:pPr>
        <w:rPr>
          <w:rFonts w:ascii="Calibri" w:hAnsi="Calibri" w:cs="Arial"/>
          <w:sz w:val="20"/>
          <w:szCs w:val="20"/>
        </w:rPr>
      </w:pPr>
    </w:p>
    <w:p w14:paraId="7A1CC2BC" w14:textId="087F3167" w:rsidR="00E42350" w:rsidRPr="00004CF8" w:rsidRDefault="00E42350" w:rsidP="00E42350">
      <w:pPr>
        <w:pStyle w:val="ListParagraph"/>
        <w:numPr>
          <w:ilvl w:val="0"/>
          <w:numId w:val="6"/>
        </w:numPr>
        <w:ind w:left="360"/>
        <w:rPr>
          <w:rFonts w:ascii="Calibri" w:hAnsi="Calibri" w:cs="Arial"/>
          <w:sz w:val="20"/>
          <w:szCs w:val="20"/>
        </w:rPr>
      </w:pPr>
      <w:r w:rsidRPr="00004CF8">
        <w:rPr>
          <w:rFonts w:ascii="Calibri" w:hAnsi="Calibri" w:cs="Arial"/>
          <w:sz w:val="20"/>
          <w:szCs w:val="20"/>
        </w:rPr>
        <w:t xml:space="preserve">The </w:t>
      </w:r>
      <w:r w:rsidRPr="00004CF8">
        <w:rPr>
          <w:rFonts w:ascii="Calibri" w:hAnsi="Calibri" w:cs="Arial"/>
          <w:sz w:val="20"/>
          <w:szCs w:val="20"/>
          <w:u w:val="single"/>
        </w:rPr>
        <w:t>gross non-performing loans (NPL) ratio of the rural banking system</w:t>
      </w:r>
      <w:r w:rsidRPr="00004CF8">
        <w:rPr>
          <w:rFonts w:ascii="Calibri" w:hAnsi="Calibri" w:cs="Arial"/>
          <w:sz w:val="20"/>
          <w:szCs w:val="20"/>
        </w:rPr>
        <w:t xml:space="preserve"> increased slightly to 11.92 percent as of March 2015 from 11.77 percent a quarter earlier. Meanwhile, rural banks’ loan loss reserves stood at 57.4 percent of their gross NPLs as of March 2015, slightly lower than the 58.0 percent in the previous quarter. </w:t>
      </w:r>
      <w:bookmarkStart w:id="0" w:name="_GoBack"/>
      <w:bookmarkEnd w:id="0"/>
    </w:p>
    <w:sectPr w:rsidR="00E42350" w:rsidRPr="00004CF8" w:rsidSect="00004CF8">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BB385" w14:textId="77777777" w:rsidR="00E42350" w:rsidRDefault="00E42350" w:rsidP="00EC46FB">
      <w:r>
        <w:separator/>
      </w:r>
    </w:p>
  </w:endnote>
  <w:endnote w:type="continuationSeparator" w:id="0">
    <w:p w14:paraId="62647F3B" w14:textId="77777777" w:rsidR="00E42350" w:rsidRDefault="00E42350" w:rsidP="00EC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8F2BD" w14:textId="77777777" w:rsidR="00E42350" w:rsidRDefault="00E42350" w:rsidP="00E42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B2360" w14:textId="77777777" w:rsidR="00E42350" w:rsidRDefault="00E42350" w:rsidP="004C59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40AF" w14:textId="77777777" w:rsidR="00E42350" w:rsidRDefault="00E42350" w:rsidP="00E42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4CF8">
      <w:rPr>
        <w:rStyle w:val="PageNumber"/>
        <w:noProof/>
      </w:rPr>
      <w:t>1</w:t>
    </w:r>
    <w:r>
      <w:rPr>
        <w:rStyle w:val="PageNumber"/>
      </w:rPr>
      <w:fldChar w:fldCharType="end"/>
    </w:r>
  </w:p>
  <w:p w14:paraId="4AEBF69C" w14:textId="74FECA3C" w:rsidR="00E42350" w:rsidRPr="004C59DE" w:rsidRDefault="00E42350" w:rsidP="00E42350">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DBA0C" w14:textId="77777777" w:rsidR="00E42350" w:rsidRDefault="00E42350" w:rsidP="00EC46FB">
      <w:r>
        <w:separator/>
      </w:r>
    </w:p>
  </w:footnote>
  <w:footnote w:type="continuationSeparator" w:id="0">
    <w:p w14:paraId="1A1FA6FA" w14:textId="77777777" w:rsidR="00E42350" w:rsidRDefault="00E42350" w:rsidP="00EC46FB">
      <w:r>
        <w:continuationSeparator/>
      </w:r>
    </w:p>
  </w:footnote>
  <w:footnote w:id="1">
    <w:p w14:paraId="2539DF6D" w14:textId="339547C8" w:rsidR="00E42350" w:rsidRPr="004C59DE" w:rsidRDefault="00E42350">
      <w:pPr>
        <w:pStyle w:val="FootnoteText"/>
        <w:rPr>
          <w:rFonts w:ascii="Optima" w:hAnsi="Optima"/>
          <w:sz w:val="16"/>
          <w:szCs w:val="16"/>
        </w:rPr>
      </w:pPr>
      <w:r w:rsidRPr="004C59DE">
        <w:rPr>
          <w:rStyle w:val="FootnoteReference"/>
          <w:rFonts w:ascii="Optima" w:hAnsi="Optima"/>
          <w:sz w:val="16"/>
          <w:szCs w:val="16"/>
        </w:rPr>
        <w:footnoteRef/>
      </w:r>
      <w:r w:rsidRPr="004C59DE">
        <w:rPr>
          <w:rFonts w:ascii="Optima" w:hAnsi="Optima"/>
          <w:sz w:val="16"/>
          <w:szCs w:val="16"/>
        </w:rPr>
        <w:t xml:space="preserve"> </w:t>
      </w:r>
      <w:r>
        <w:rPr>
          <w:rFonts w:ascii="Optima" w:hAnsi="Optima"/>
          <w:sz w:val="16"/>
          <w:szCs w:val="16"/>
        </w:rPr>
        <w:t xml:space="preserve">Based on the last done deal transaction in the afternoon.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5310E" w14:textId="77777777" w:rsidR="00E42350" w:rsidRDefault="00E42350">
    <w:pPr>
      <w:pStyle w:val="Header"/>
    </w:pPr>
    <w:sdt>
      <w:sdtPr>
        <w:id w:val="171999623"/>
        <w:placeholder>
          <w:docPart w:val="630D36EC5F976E478D2D12B16546DE97"/>
        </w:placeholder>
        <w:temporary/>
        <w:showingPlcHdr/>
      </w:sdtPr>
      <w:sdtContent>
        <w:r>
          <w:t>[Type text]</w:t>
        </w:r>
      </w:sdtContent>
    </w:sdt>
    <w:r>
      <w:ptab w:relativeTo="margin" w:alignment="center" w:leader="none"/>
    </w:r>
    <w:sdt>
      <w:sdtPr>
        <w:id w:val="171999624"/>
        <w:placeholder>
          <w:docPart w:val="848A38AFFEE0214297231BB2EB8EA079"/>
        </w:placeholder>
        <w:temporary/>
        <w:showingPlcHdr/>
      </w:sdtPr>
      <w:sdtContent>
        <w:r>
          <w:t>[Type text]</w:t>
        </w:r>
      </w:sdtContent>
    </w:sdt>
    <w:r>
      <w:ptab w:relativeTo="margin" w:alignment="right" w:leader="none"/>
    </w:r>
    <w:sdt>
      <w:sdtPr>
        <w:id w:val="171999625"/>
        <w:placeholder>
          <w:docPart w:val="FA076BF6EB7D0F41A7777FCB8B0C86A9"/>
        </w:placeholder>
        <w:temporary/>
        <w:showingPlcHdr/>
      </w:sdtPr>
      <w:sdtContent>
        <w:r>
          <w:t>[Type text]</w:t>
        </w:r>
      </w:sdtContent>
    </w:sdt>
  </w:p>
  <w:p w14:paraId="47C55500" w14:textId="77777777" w:rsidR="00E42350" w:rsidRDefault="00E423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E47E" w14:textId="6F5AAC6F" w:rsidR="00E42350" w:rsidRDefault="00E42350">
    <w:pPr>
      <w:pStyle w:val="Header"/>
    </w:pPr>
    <w:r>
      <w:ptab w:relativeTo="margin" w:alignment="right" w:leader="none"/>
    </w:r>
    <w:r w:rsidRPr="00AE1059">
      <w:rPr>
        <w:rFonts w:ascii="Optima" w:hAnsi="Optima"/>
        <w:sz w:val="20"/>
        <w:szCs w:val="20"/>
      </w:rPr>
      <w:t>Annex A</w:t>
    </w:r>
    <w:r>
      <w:rPr>
        <w:rFonts w:ascii="Optima" w:hAnsi="Optima"/>
        <w:sz w:val="20"/>
        <w:szCs w:val="20"/>
      </w:rPr>
      <w:t xml:space="preserve"> </w:t>
    </w:r>
  </w:p>
  <w:p w14:paraId="4E3F9EF0" w14:textId="77777777" w:rsidR="00E42350" w:rsidRDefault="00E4235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EEB"/>
    <w:multiLevelType w:val="hybridMultilevel"/>
    <w:tmpl w:val="69F43E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CC6354"/>
    <w:multiLevelType w:val="hybridMultilevel"/>
    <w:tmpl w:val="8D88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20CFF"/>
    <w:multiLevelType w:val="hybridMultilevel"/>
    <w:tmpl w:val="CF6E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CF55D5"/>
    <w:multiLevelType w:val="hybridMultilevel"/>
    <w:tmpl w:val="168C6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FB0C2E"/>
    <w:multiLevelType w:val="hybridMultilevel"/>
    <w:tmpl w:val="1FD241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2A3C98"/>
    <w:multiLevelType w:val="hybridMultilevel"/>
    <w:tmpl w:val="42C4E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40"/>
    <w:rsid w:val="00004CF8"/>
    <w:rsid w:val="00097D12"/>
    <w:rsid w:val="002007BE"/>
    <w:rsid w:val="0037351D"/>
    <w:rsid w:val="004C59DE"/>
    <w:rsid w:val="00682F36"/>
    <w:rsid w:val="008B0575"/>
    <w:rsid w:val="00AE1059"/>
    <w:rsid w:val="00B97140"/>
    <w:rsid w:val="00E42350"/>
    <w:rsid w:val="00EC46FB"/>
    <w:rsid w:val="00F7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DFA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7BE"/>
    <w:pPr>
      <w:ind w:left="720"/>
      <w:contextualSpacing/>
    </w:pPr>
  </w:style>
  <w:style w:type="paragraph" w:styleId="Header">
    <w:name w:val="header"/>
    <w:basedOn w:val="Normal"/>
    <w:link w:val="HeaderChar"/>
    <w:uiPriority w:val="99"/>
    <w:unhideWhenUsed/>
    <w:rsid w:val="00EC46FB"/>
    <w:pPr>
      <w:tabs>
        <w:tab w:val="center" w:pos="4320"/>
        <w:tab w:val="right" w:pos="8640"/>
      </w:tabs>
    </w:pPr>
  </w:style>
  <w:style w:type="character" w:customStyle="1" w:styleId="HeaderChar">
    <w:name w:val="Header Char"/>
    <w:basedOn w:val="DefaultParagraphFont"/>
    <w:link w:val="Header"/>
    <w:uiPriority w:val="99"/>
    <w:rsid w:val="00EC46FB"/>
  </w:style>
  <w:style w:type="paragraph" w:styleId="Footer">
    <w:name w:val="footer"/>
    <w:basedOn w:val="Normal"/>
    <w:link w:val="FooterChar"/>
    <w:uiPriority w:val="99"/>
    <w:unhideWhenUsed/>
    <w:rsid w:val="00EC46FB"/>
    <w:pPr>
      <w:tabs>
        <w:tab w:val="center" w:pos="4320"/>
        <w:tab w:val="right" w:pos="8640"/>
      </w:tabs>
    </w:pPr>
  </w:style>
  <w:style w:type="character" w:customStyle="1" w:styleId="FooterChar">
    <w:name w:val="Footer Char"/>
    <w:basedOn w:val="DefaultParagraphFont"/>
    <w:link w:val="Footer"/>
    <w:uiPriority w:val="99"/>
    <w:rsid w:val="00EC46FB"/>
  </w:style>
  <w:style w:type="paragraph" w:styleId="FootnoteText">
    <w:name w:val="footnote text"/>
    <w:basedOn w:val="Normal"/>
    <w:link w:val="FootnoteTextChar"/>
    <w:uiPriority w:val="99"/>
    <w:unhideWhenUsed/>
    <w:rsid w:val="00EC46FB"/>
  </w:style>
  <w:style w:type="character" w:customStyle="1" w:styleId="FootnoteTextChar">
    <w:name w:val="Footnote Text Char"/>
    <w:basedOn w:val="DefaultParagraphFont"/>
    <w:link w:val="FootnoteText"/>
    <w:uiPriority w:val="99"/>
    <w:rsid w:val="00EC46FB"/>
  </w:style>
  <w:style w:type="character" w:styleId="FootnoteReference">
    <w:name w:val="footnote reference"/>
    <w:basedOn w:val="DefaultParagraphFont"/>
    <w:uiPriority w:val="99"/>
    <w:unhideWhenUsed/>
    <w:rsid w:val="00EC46FB"/>
    <w:rPr>
      <w:vertAlign w:val="superscript"/>
    </w:rPr>
  </w:style>
  <w:style w:type="table" w:styleId="TableGrid">
    <w:name w:val="Table Grid"/>
    <w:basedOn w:val="TableNormal"/>
    <w:uiPriority w:val="59"/>
    <w:rsid w:val="004C5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C59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7BE"/>
    <w:pPr>
      <w:ind w:left="720"/>
      <w:contextualSpacing/>
    </w:pPr>
  </w:style>
  <w:style w:type="paragraph" w:styleId="Header">
    <w:name w:val="header"/>
    <w:basedOn w:val="Normal"/>
    <w:link w:val="HeaderChar"/>
    <w:uiPriority w:val="99"/>
    <w:unhideWhenUsed/>
    <w:rsid w:val="00EC46FB"/>
    <w:pPr>
      <w:tabs>
        <w:tab w:val="center" w:pos="4320"/>
        <w:tab w:val="right" w:pos="8640"/>
      </w:tabs>
    </w:pPr>
  </w:style>
  <w:style w:type="character" w:customStyle="1" w:styleId="HeaderChar">
    <w:name w:val="Header Char"/>
    <w:basedOn w:val="DefaultParagraphFont"/>
    <w:link w:val="Header"/>
    <w:uiPriority w:val="99"/>
    <w:rsid w:val="00EC46FB"/>
  </w:style>
  <w:style w:type="paragraph" w:styleId="Footer">
    <w:name w:val="footer"/>
    <w:basedOn w:val="Normal"/>
    <w:link w:val="FooterChar"/>
    <w:uiPriority w:val="99"/>
    <w:unhideWhenUsed/>
    <w:rsid w:val="00EC46FB"/>
    <w:pPr>
      <w:tabs>
        <w:tab w:val="center" w:pos="4320"/>
        <w:tab w:val="right" w:pos="8640"/>
      </w:tabs>
    </w:pPr>
  </w:style>
  <w:style w:type="character" w:customStyle="1" w:styleId="FooterChar">
    <w:name w:val="Footer Char"/>
    <w:basedOn w:val="DefaultParagraphFont"/>
    <w:link w:val="Footer"/>
    <w:uiPriority w:val="99"/>
    <w:rsid w:val="00EC46FB"/>
  </w:style>
  <w:style w:type="paragraph" w:styleId="FootnoteText">
    <w:name w:val="footnote text"/>
    <w:basedOn w:val="Normal"/>
    <w:link w:val="FootnoteTextChar"/>
    <w:uiPriority w:val="99"/>
    <w:unhideWhenUsed/>
    <w:rsid w:val="00EC46FB"/>
  </w:style>
  <w:style w:type="character" w:customStyle="1" w:styleId="FootnoteTextChar">
    <w:name w:val="Footnote Text Char"/>
    <w:basedOn w:val="DefaultParagraphFont"/>
    <w:link w:val="FootnoteText"/>
    <w:uiPriority w:val="99"/>
    <w:rsid w:val="00EC46FB"/>
  </w:style>
  <w:style w:type="character" w:styleId="FootnoteReference">
    <w:name w:val="footnote reference"/>
    <w:basedOn w:val="DefaultParagraphFont"/>
    <w:uiPriority w:val="99"/>
    <w:unhideWhenUsed/>
    <w:rsid w:val="00EC46FB"/>
    <w:rPr>
      <w:vertAlign w:val="superscript"/>
    </w:rPr>
  </w:style>
  <w:style w:type="table" w:styleId="TableGrid">
    <w:name w:val="Table Grid"/>
    <w:basedOn w:val="TableNormal"/>
    <w:uiPriority w:val="59"/>
    <w:rsid w:val="004C5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C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1029">
      <w:bodyDiv w:val="1"/>
      <w:marLeft w:val="0"/>
      <w:marRight w:val="0"/>
      <w:marTop w:val="0"/>
      <w:marBottom w:val="0"/>
      <w:divBdr>
        <w:top w:val="none" w:sz="0" w:space="0" w:color="auto"/>
        <w:left w:val="none" w:sz="0" w:space="0" w:color="auto"/>
        <w:bottom w:val="none" w:sz="0" w:space="0" w:color="auto"/>
        <w:right w:val="none" w:sz="0" w:space="0" w:color="auto"/>
      </w:divBdr>
    </w:div>
    <w:div w:id="695278713">
      <w:bodyDiv w:val="1"/>
      <w:marLeft w:val="0"/>
      <w:marRight w:val="0"/>
      <w:marTop w:val="0"/>
      <w:marBottom w:val="0"/>
      <w:divBdr>
        <w:top w:val="none" w:sz="0" w:space="0" w:color="auto"/>
        <w:left w:val="none" w:sz="0" w:space="0" w:color="auto"/>
        <w:bottom w:val="none" w:sz="0" w:space="0" w:color="auto"/>
        <w:right w:val="none" w:sz="0" w:space="0" w:color="auto"/>
      </w:divBdr>
    </w:div>
    <w:div w:id="790827811">
      <w:bodyDiv w:val="1"/>
      <w:marLeft w:val="0"/>
      <w:marRight w:val="0"/>
      <w:marTop w:val="0"/>
      <w:marBottom w:val="0"/>
      <w:divBdr>
        <w:top w:val="none" w:sz="0" w:space="0" w:color="auto"/>
        <w:left w:val="none" w:sz="0" w:space="0" w:color="auto"/>
        <w:bottom w:val="none" w:sz="0" w:space="0" w:color="auto"/>
        <w:right w:val="none" w:sz="0" w:space="0" w:color="auto"/>
      </w:divBdr>
    </w:div>
    <w:div w:id="1832136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0D36EC5F976E478D2D12B16546DE97"/>
        <w:category>
          <w:name w:val="General"/>
          <w:gallery w:val="placeholder"/>
        </w:category>
        <w:types>
          <w:type w:val="bbPlcHdr"/>
        </w:types>
        <w:behaviors>
          <w:behavior w:val="content"/>
        </w:behaviors>
        <w:guid w:val="{1F429276-672F-ED4D-8B99-3D494C11FFA5}"/>
      </w:docPartPr>
      <w:docPartBody>
        <w:p w14:paraId="1123BBA8" w14:textId="160B2CD8" w:rsidR="005D343C" w:rsidRDefault="005D343C" w:rsidP="005D343C">
          <w:pPr>
            <w:pStyle w:val="630D36EC5F976E478D2D12B16546DE97"/>
          </w:pPr>
          <w:r>
            <w:t>[Type text]</w:t>
          </w:r>
        </w:p>
      </w:docPartBody>
    </w:docPart>
    <w:docPart>
      <w:docPartPr>
        <w:name w:val="848A38AFFEE0214297231BB2EB8EA079"/>
        <w:category>
          <w:name w:val="General"/>
          <w:gallery w:val="placeholder"/>
        </w:category>
        <w:types>
          <w:type w:val="bbPlcHdr"/>
        </w:types>
        <w:behaviors>
          <w:behavior w:val="content"/>
        </w:behaviors>
        <w:guid w:val="{3308BEFC-60EA-5C4B-A0D2-1809E219752F}"/>
      </w:docPartPr>
      <w:docPartBody>
        <w:p w14:paraId="0FC12FA1" w14:textId="32F07DF2" w:rsidR="005D343C" w:rsidRDefault="005D343C" w:rsidP="005D343C">
          <w:pPr>
            <w:pStyle w:val="848A38AFFEE0214297231BB2EB8EA079"/>
          </w:pPr>
          <w:r>
            <w:t>[Type text]</w:t>
          </w:r>
        </w:p>
      </w:docPartBody>
    </w:docPart>
    <w:docPart>
      <w:docPartPr>
        <w:name w:val="FA076BF6EB7D0F41A7777FCB8B0C86A9"/>
        <w:category>
          <w:name w:val="General"/>
          <w:gallery w:val="placeholder"/>
        </w:category>
        <w:types>
          <w:type w:val="bbPlcHdr"/>
        </w:types>
        <w:behaviors>
          <w:behavior w:val="content"/>
        </w:behaviors>
        <w:guid w:val="{51FF5A23-C9DF-EB42-AD62-846E0E00A32A}"/>
      </w:docPartPr>
      <w:docPartBody>
        <w:p w14:paraId="1D43C3BA" w14:textId="50FF8564" w:rsidR="005D343C" w:rsidRDefault="005D343C" w:rsidP="005D343C">
          <w:pPr>
            <w:pStyle w:val="FA076BF6EB7D0F41A7777FCB8B0C86A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3C"/>
    <w:rsid w:val="005D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D36EC5F976E478D2D12B16546DE97">
    <w:name w:val="630D36EC5F976E478D2D12B16546DE97"/>
    <w:rsid w:val="005D343C"/>
  </w:style>
  <w:style w:type="paragraph" w:customStyle="1" w:styleId="848A38AFFEE0214297231BB2EB8EA079">
    <w:name w:val="848A38AFFEE0214297231BB2EB8EA079"/>
    <w:rsid w:val="005D343C"/>
  </w:style>
  <w:style w:type="paragraph" w:customStyle="1" w:styleId="FA076BF6EB7D0F41A7777FCB8B0C86A9">
    <w:name w:val="FA076BF6EB7D0F41A7777FCB8B0C86A9"/>
    <w:rsid w:val="005D343C"/>
  </w:style>
  <w:style w:type="paragraph" w:customStyle="1" w:styleId="B4D2C64907958E4693AA451E4B392177">
    <w:name w:val="B4D2C64907958E4693AA451E4B392177"/>
    <w:rsid w:val="005D343C"/>
  </w:style>
  <w:style w:type="paragraph" w:customStyle="1" w:styleId="7DCF20DC85ADA547950BA2373DEF11E9">
    <w:name w:val="7DCF20DC85ADA547950BA2373DEF11E9"/>
    <w:rsid w:val="005D343C"/>
  </w:style>
  <w:style w:type="paragraph" w:customStyle="1" w:styleId="7ABE77586C127D4983AA41AE2DA99EB1">
    <w:name w:val="7ABE77586C127D4983AA41AE2DA99EB1"/>
    <w:rsid w:val="005D343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D36EC5F976E478D2D12B16546DE97">
    <w:name w:val="630D36EC5F976E478D2D12B16546DE97"/>
    <w:rsid w:val="005D343C"/>
  </w:style>
  <w:style w:type="paragraph" w:customStyle="1" w:styleId="848A38AFFEE0214297231BB2EB8EA079">
    <w:name w:val="848A38AFFEE0214297231BB2EB8EA079"/>
    <w:rsid w:val="005D343C"/>
  </w:style>
  <w:style w:type="paragraph" w:customStyle="1" w:styleId="FA076BF6EB7D0F41A7777FCB8B0C86A9">
    <w:name w:val="FA076BF6EB7D0F41A7777FCB8B0C86A9"/>
    <w:rsid w:val="005D343C"/>
  </w:style>
  <w:style w:type="paragraph" w:customStyle="1" w:styleId="B4D2C64907958E4693AA451E4B392177">
    <w:name w:val="B4D2C64907958E4693AA451E4B392177"/>
    <w:rsid w:val="005D343C"/>
  </w:style>
  <w:style w:type="paragraph" w:customStyle="1" w:styleId="7DCF20DC85ADA547950BA2373DEF11E9">
    <w:name w:val="7DCF20DC85ADA547950BA2373DEF11E9"/>
    <w:rsid w:val="005D343C"/>
  </w:style>
  <w:style w:type="paragraph" w:customStyle="1" w:styleId="7ABE77586C127D4983AA41AE2DA99EB1">
    <w:name w:val="7ABE77586C127D4983AA41AE2DA99EB1"/>
    <w:rsid w:val="005D3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58F8-2CCD-0345-8C49-1B79E8B2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485</Words>
  <Characters>2768</Characters>
  <Application>Microsoft Macintosh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2015-10-22T05:35:00Z</dcterms:created>
  <dcterms:modified xsi:type="dcterms:W3CDTF">2015-10-22T07:02:00Z</dcterms:modified>
</cp:coreProperties>
</file>