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3A" w:rsidRPr="007B423A" w:rsidRDefault="007B423A" w:rsidP="007B423A">
      <w:pPr>
        <w:jc w:val="right"/>
        <w:rPr>
          <w:rFonts w:ascii="Tahoma" w:hAnsi="Tahoma" w:cs="Tahoma"/>
          <w:color w:val="17365D" w:themeColor="text2" w:themeShade="BF"/>
          <w:sz w:val="24"/>
        </w:rPr>
      </w:pPr>
      <w:r w:rsidRPr="007B423A">
        <w:rPr>
          <w:rFonts w:ascii="Tahoma" w:hAnsi="Tahoma" w:cs="Tahoma"/>
          <w:b/>
          <w:color w:val="17365D" w:themeColor="text2" w:themeShade="BF"/>
          <w:sz w:val="32"/>
        </w:rPr>
        <w:t>C</w:t>
      </w:r>
      <w:r w:rsidRPr="007B423A">
        <w:rPr>
          <w:rFonts w:ascii="Tahoma" w:hAnsi="Tahoma" w:cs="Tahoma"/>
          <w:color w:val="17365D" w:themeColor="text2" w:themeShade="BF"/>
          <w:sz w:val="24"/>
        </w:rPr>
        <w:t xml:space="preserve">onfederation of </w:t>
      </w:r>
      <w:r w:rsidRPr="007B423A">
        <w:rPr>
          <w:rFonts w:ascii="Tahoma" w:hAnsi="Tahoma" w:cs="Tahoma"/>
          <w:b/>
          <w:color w:val="17365D" w:themeColor="text2" w:themeShade="BF"/>
          <w:sz w:val="32"/>
        </w:rPr>
        <w:t>S</w:t>
      </w:r>
      <w:r w:rsidRPr="007B423A">
        <w:rPr>
          <w:rFonts w:ascii="Tahoma" w:hAnsi="Tahoma" w:cs="Tahoma"/>
          <w:color w:val="17365D" w:themeColor="text2" w:themeShade="BF"/>
          <w:sz w:val="24"/>
        </w:rPr>
        <w:t xml:space="preserve">outh </w:t>
      </w:r>
      <w:r w:rsidRPr="007B423A">
        <w:rPr>
          <w:rFonts w:ascii="Tahoma" w:hAnsi="Tahoma" w:cs="Tahoma"/>
          <w:b/>
          <w:color w:val="17365D" w:themeColor="text2" w:themeShade="BF"/>
          <w:sz w:val="32"/>
        </w:rPr>
        <w:t>C</w:t>
      </w:r>
      <w:r w:rsidRPr="007B423A">
        <w:rPr>
          <w:rFonts w:ascii="Tahoma" w:hAnsi="Tahoma" w:cs="Tahoma"/>
          <w:color w:val="17365D" w:themeColor="text2" w:themeShade="BF"/>
          <w:sz w:val="24"/>
        </w:rPr>
        <w:t xml:space="preserve">entral </w:t>
      </w:r>
      <w:r w:rsidRPr="007B423A">
        <w:rPr>
          <w:rFonts w:ascii="Tahoma" w:hAnsi="Tahoma" w:cs="Tahoma"/>
          <w:b/>
          <w:color w:val="17365D" w:themeColor="text2" w:themeShade="BF"/>
          <w:sz w:val="32"/>
        </w:rPr>
        <w:t>M</w:t>
      </w:r>
      <w:r w:rsidRPr="007B423A">
        <w:rPr>
          <w:rFonts w:ascii="Tahoma" w:hAnsi="Tahoma" w:cs="Tahoma"/>
          <w:color w:val="17365D" w:themeColor="text2" w:themeShade="BF"/>
          <w:sz w:val="24"/>
        </w:rPr>
        <w:t xml:space="preserve">indanao </w:t>
      </w:r>
      <w:r w:rsidRPr="007B423A">
        <w:rPr>
          <w:rFonts w:ascii="Tahoma" w:hAnsi="Tahoma" w:cs="Tahoma"/>
          <w:b/>
          <w:color w:val="17365D" w:themeColor="text2" w:themeShade="BF"/>
          <w:sz w:val="32"/>
        </w:rPr>
        <w:t>R</w:t>
      </w:r>
      <w:r w:rsidRPr="007B423A">
        <w:rPr>
          <w:rFonts w:ascii="Tahoma" w:hAnsi="Tahoma" w:cs="Tahoma"/>
          <w:color w:val="17365D" w:themeColor="text2" w:themeShade="BF"/>
          <w:sz w:val="24"/>
        </w:rPr>
        <w:t xml:space="preserve">ural </w:t>
      </w:r>
      <w:r w:rsidRPr="007B423A">
        <w:rPr>
          <w:rFonts w:ascii="Tahoma" w:hAnsi="Tahoma" w:cs="Tahoma"/>
          <w:b/>
          <w:color w:val="17365D" w:themeColor="text2" w:themeShade="BF"/>
          <w:sz w:val="32"/>
        </w:rPr>
        <w:t>B</w:t>
      </w:r>
      <w:r w:rsidRPr="007B423A">
        <w:rPr>
          <w:rFonts w:ascii="Tahoma" w:hAnsi="Tahoma" w:cs="Tahoma"/>
          <w:color w:val="17365D" w:themeColor="text2" w:themeShade="BF"/>
          <w:sz w:val="24"/>
        </w:rPr>
        <w:t xml:space="preserve">ankers </w:t>
      </w:r>
      <w:r w:rsidRPr="007B423A">
        <w:rPr>
          <w:rFonts w:ascii="Tahoma" w:hAnsi="Tahoma" w:cs="Tahoma"/>
          <w:b/>
          <w:color w:val="17365D" w:themeColor="text2" w:themeShade="BF"/>
          <w:sz w:val="32"/>
        </w:rPr>
        <w:t>A</w:t>
      </w:r>
      <w:r w:rsidRPr="007B423A">
        <w:rPr>
          <w:rFonts w:ascii="Tahoma" w:hAnsi="Tahoma" w:cs="Tahoma"/>
          <w:color w:val="17365D" w:themeColor="text2" w:themeShade="BF"/>
          <w:sz w:val="24"/>
        </w:rPr>
        <w:t>ssociation</w:t>
      </w:r>
    </w:p>
    <w:p w:rsidR="007B423A" w:rsidRDefault="007B423A" w:rsidP="007B423A">
      <w:pPr>
        <w:pStyle w:val="Footer"/>
        <w:jc w:val="right"/>
        <w:rPr>
          <w:rFonts w:ascii="Swis721 LtEx BT" w:hAnsi="Swis721 LtEx BT"/>
          <w:color w:val="17365D" w:themeColor="text2" w:themeShade="BF"/>
          <w:sz w:val="18"/>
        </w:rPr>
      </w:pPr>
      <w:r w:rsidRPr="007B423A">
        <w:rPr>
          <w:rFonts w:ascii="Swis721 LtEx BT" w:hAnsi="Swis721 LtEx BT"/>
          <w:color w:val="17365D"/>
          <w:sz w:val="18"/>
        </w:rPr>
        <w:t>c/o PeoplesBank, Santiago Blvd., Gen. Santos City.  Tel: 083.5532290;  Fax: 083.5532291</w:t>
      </w:r>
    </w:p>
    <w:p w:rsidR="007B423A" w:rsidRPr="007B423A" w:rsidRDefault="007B423A" w:rsidP="007B423A">
      <w:pPr>
        <w:pStyle w:val="Footer"/>
        <w:pBdr>
          <w:bottom w:val="single" w:sz="6" w:space="1" w:color="auto"/>
        </w:pBdr>
        <w:jc w:val="right"/>
        <w:rPr>
          <w:rFonts w:ascii="Swis721 LtEx BT" w:hAnsi="Swis721 LtEx BT"/>
          <w:color w:val="17365D"/>
          <w:sz w:val="18"/>
        </w:rPr>
      </w:pPr>
      <w:r>
        <w:rPr>
          <w:rFonts w:ascii="Swis721 LtEx BT" w:hAnsi="Swis721 LtEx BT"/>
          <w:color w:val="17365D" w:themeColor="text2" w:themeShade="BF"/>
          <w:sz w:val="18"/>
        </w:rPr>
        <w:t>e-mail: cscmrba@gmail.com</w:t>
      </w:r>
    </w:p>
    <w:p w:rsidR="00AB2F57" w:rsidRDefault="00AB2F57" w:rsidP="007B423A">
      <w:pPr>
        <w:pStyle w:val="Default"/>
        <w:jc w:val="right"/>
      </w:pPr>
    </w:p>
    <w:p w:rsidR="00AB2F57" w:rsidRPr="000B1849" w:rsidRDefault="00AB2F57" w:rsidP="007B423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2014 Annual </w:t>
      </w:r>
      <w:r w:rsidR="00794CA4">
        <w:rPr>
          <w:b/>
          <w:bCs/>
          <w:sz w:val="22"/>
          <w:szCs w:val="22"/>
        </w:rPr>
        <w:t>Mindanao Credit</w:t>
      </w:r>
      <w:r>
        <w:rPr>
          <w:b/>
          <w:bCs/>
          <w:sz w:val="22"/>
          <w:szCs w:val="22"/>
        </w:rPr>
        <w:t xml:space="preserve"> Conference</w:t>
      </w:r>
    </w:p>
    <w:p w:rsidR="001E7405" w:rsidRPr="000B1849" w:rsidRDefault="000B1849" w:rsidP="007B423A">
      <w:pPr>
        <w:pStyle w:val="Default"/>
        <w:jc w:val="center"/>
        <w:rPr>
          <w:sz w:val="18"/>
          <w:szCs w:val="22"/>
        </w:rPr>
      </w:pPr>
      <w:bookmarkStart w:id="0" w:name="_GoBack"/>
      <w:bookmarkEnd w:id="0"/>
      <w:r w:rsidRPr="000B1849">
        <w:rPr>
          <w:b/>
          <w:bCs/>
          <w:sz w:val="18"/>
          <w:szCs w:val="22"/>
        </w:rPr>
        <w:t>Confederation of South Central Mindanao Rural Bankers Association</w:t>
      </w:r>
    </w:p>
    <w:p w:rsidR="001E7405" w:rsidRDefault="001E7405" w:rsidP="00AB2F57">
      <w:pPr>
        <w:pStyle w:val="Default"/>
        <w:rPr>
          <w:sz w:val="22"/>
          <w:szCs w:val="22"/>
        </w:rPr>
      </w:pPr>
    </w:p>
    <w:p w:rsidR="00AB2F57" w:rsidRDefault="007B423A" w:rsidP="00AB2F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August 7</w:t>
      </w:r>
      <w:r w:rsidR="001E7405">
        <w:rPr>
          <w:sz w:val="22"/>
          <w:szCs w:val="22"/>
        </w:rPr>
        <w:t>, 2014</w:t>
      </w:r>
    </w:p>
    <w:p w:rsidR="001E7405" w:rsidRDefault="001E7405" w:rsidP="00AB2F57">
      <w:pPr>
        <w:pStyle w:val="Default"/>
        <w:rPr>
          <w:b/>
          <w:bCs/>
          <w:sz w:val="22"/>
          <w:szCs w:val="22"/>
        </w:rPr>
      </w:pPr>
    </w:p>
    <w:p w:rsidR="00C72327" w:rsidRDefault="00C72327" w:rsidP="00AB2F57">
      <w:pPr>
        <w:pStyle w:val="Default"/>
        <w:rPr>
          <w:b/>
          <w:bCs/>
          <w:sz w:val="22"/>
          <w:szCs w:val="22"/>
        </w:rPr>
      </w:pPr>
    </w:p>
    <w:p w:rsidR="00AB2F57" w:rsidRDefault="00AB2F57" w:rsidP="00AB2F5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Dear Fellow Rural Banker: </w:t>
      </w:r>
    </w:p>
    <w:p w:rsidR="00AB2F57" w:rsidRDefault="00AB2F57" w:rsidP="00AB2F57">
      <w:pPr>
        <w:pStyle w:val="Default"/>
        <w:rPr>
          <w:sz w:val="22"/>
          <w:szCs w:val="22"/>
        </w:rPr>
      </w:pPr>
    </w:p>
    <w:p w:rsidR="00AB2F57" w:rsidRDefault="00AB2F57" w:rsidP="00AB2F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MagandangGenSan!</w:t>
      </w:r>
    </w:p>
    <w:p w:rsidR="00AB2F57" w:rsidRDefault="00AB2F57" w:rsidP="00AB2F57">
      <w:pPr>
        <w:pStyle w:val="Default"/>
        <w:rPr>
          <w:sz w:val="22"/>
          <w:szCs w:val="22"/>
        </w:rPr>
      </w:pPr>
    </w:p>
    <w:p w:rsidR="001824FD" w:rsidRDefault="00AB2F57" w:rsidP="00897E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are pleased to announce the holding of the </w:t>
      </w:r>
      <w:r>
        <w:rPr>
          <w:b/>
          <w:bCs/>
          <w:sz w:val="22"/>
          <w:szCs w:val="22"/>
        </w:rPr>
        <w:t xml:space="preserve">2014 Annual </w:t>
      </w:r>
      <w:r w:rsidR="00794CA4">
        <w:rPr>
          <w:b/>
          <w:bCs/>
          <w:sz w:val="22"/>
          <w:szCs w:val="22"/>
        </w:rPr>
        <w:t xml:space="preserve">Mindanao Credit </w:t>
      </w:r>
      <w:r>
        <w:rPr>
          <w:b/>
          <w:bCs/>
          <w:sz w:val="22"/>
          <w:szCs w:val="22"/>
        </w:rPr>
        <w:t xml:space="preserve">Conference </w:t>
      </w:r>
      <w:r w:rsidR="000965FD">
        <w:rPr>
          <w:b/>
          <w:bCs/>
          <w:sz w:val="22"/>
          <w:szCs w:val="22"/>
        </w:rPr>
        <w:t xml:space="preserve">by Confederation of South Central Mindanao Rural Bankers Association </w:t>
      </w:r>
      <w:r>
        <w:rPr>
          <w:sz w:val="22"/>
          <w:szCs w:val="22"/>
        </w:rPr>
        <w:t xml:space="preserve">on October 2-3, 2014 at Phela Grande Convention Center, National Highway, Gen. Santos City.  With this </w:t>
      </w:r>
      <w:r w:rsidR="001824FD">
        <w:rPr>
          <w:sz w:val="22"/>
          <w:szCs w:val="22"/>
        </w:rPr>
        <w:t xml:space="preserve">year’s </w:t>
      </w:r>
      <w:r>
        <w:rPr>
          <w:sz w:val="22"/>
          <w:szCs w:val="22"/>
        </w:rPr>
        <w:t xml:space="preserve">Conference theme </w:t>
      </w:r>
      <w:r w:rsidR="001E7405">
        <w:rPr>
          <w:b/>
          <w:sz w:val="22"/>
          <w:szCs w:val="22"/>
        </w:rPr>
        <w:t>Equipping Rural Banks</w:t>
      </w:r>
      <w:r w:rsidR="00897E1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E7405">
        <w:rPr>
          <w:b/>
          <w:sz w:val="22"/>
          <w:szCs w:val="22"/>
        </w:rPr>
        <w:t>The Rising Economic Challenges of Global Banking and Community Integration</w:t>
      </w:r>
      <w:r w:rsidR="001E7405">
        <w:rPr>
          <w:sz w:val="22"/>
          <w:szCs w:val="22"/>
        </w:rPr>
        <w:t>,</w:t>
      </w:r>
      <w:r w:rsidR="00897E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 are </w:t>
      </w:r>
      <w:r w:rsidR="001824FD">
        <w:rPr>
          <w:sz w:val="22"/>
          <w:szCs w:val="22"/>
        </w:rPr>
        <w:t xml:space="preserve">excitedly </w:t>
      </w:r>
      <w:r>
        <w:rPr>
          <w:sz w:val="22"/>
          <w:szCs w:val="22"/>
        </w:rPr>
        <w:t>looking at how new innovations and technol</w:t>
      </w:r>
      <w:r w:rsidR="000965FD">
        <w:rPr>
          <w:sz w:val="22"/>
          <w:szCs w:val="22"/>
        </w:rPr>
        <w:t>ogies in the banking industry are</w:t>
      </w:r>
      <w:r>
        <w:rPr>
          <w:sz w:val="22"/>
          <w:szCs w:val="22"/>
        </w:rPr>
        <w:t xml:space="preserve"> shaping and will </w:t>
      </w:r>
      <w:r w:rsidR="001824FD">
        <w:rPr>
          <w:sz w:val="22"/>
          <w:szCs w:val="22"/>
        </w:rPr>
        <w:t xml:space="preserve">further </w:t>
      </w:r>
      <w:r>
        <w:rPr>
          <w:sz w:val="22"/>
          <w:szCs w:val="22"/>
        </w:rPr>
        <w:t xml:space="preserve">embolden </w:t>
      </w:r>
      <w:r w:rsidR="001824FD">
        <w:rPr>
          <w:sz w:val="22"/>
          <w:szCs w:val="22"/>
        </w:rPr>
        <w:t xml:space="preserve">our rural banking industry in the coming new ASEAN economy.  With challenges come opportunities that we could all </w:t>
      </w:r>
      <w:r w:rsidR="00FF33E2">
        <w:rPr>
          <w:sz w:val="22"/>
          <w:szCs w:val="22"/>
        </w:rPr>
        <w:t xml:space="preserve">work with, share </w:t>
      </w:r>
      <w:r w:rsidR="001824FD">
        <w:rPr>
          <w:sz w:val="22"/>
          <w:szCs w:val="22"/>
        </w:rPr>
        <w:t>and reap</w:t>
      </w:r>
      <w:r w:rsidR="001E7405">
        <w:rPr>
          <w:sz w:val="22"/>
          <w:szCs w:val="22"/>
        </w:rPr>
        <w:t xml:space="preserve"> with the communities we are working with</w:t>
      </w:r>
      <w:r w:rsidR="00FF33E2">
        <w:rPr>
          <w:sz w:val="22"/>
          <w:szCs w:val="22"/>
        </w:rPr>
        <w:t xml:space="preserve">, fueling us into the next </w:t>
      </w:r>
      <w:r w:rsidR="000965FD">
        <w:rPr>
          <w:sz w:val="22"/>
          <w:szCs w:val="22"/>
        </w:rPr>
        <w:t xml:space="preserve">decades </w:t>
      </w:r>
      <w:r w:rsidR="00FF33E2">
        <w:rPr>
          <w:sz w:val="22"/>
          <w:szCs w:val="22"/>
        </w:rPr>
        <w:t>of growth and prosperity for all.</w:t>
      </w:r>
    </w:p>
    <w:p w:rsidR="00FF33E2" w:rsidRDefault="00FF33E2" w:rsidP="00AB2F57">
      <w:pPr>
        <w:pStyle w:val="Default"/>
        <w:spacing w:after="21"/>
        <w:rPr>
          <w:sz w:val="22"/>
          <w:szCs w:val="22"/>
        </w:rPr>
      </w:pPr>
    </w:p>
    <w:p w:rsidR="00FF33E2" w:rsidRDefault="00FF33E2" w:rsidP="00897E14">
      <w:pPr>
        <w:pStyle w:val="Default"/>
        <w:tabs>
          <w:tab w:val="left" w:pos="810"/>
        </w:tabs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Kindly find the following in order:</w:t>
      </w:r>
    </w:p>
    <w:p w:rsidR="00AB2F57" w:rsidRDefault="00AB2F57" w:rsidP="00AB2F57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1) Circular letter to all Rural Banks covering authorized expenses (Annex A) </w:t>
      </w:r>
    </w:p>
    <w:p w:rsidR="00794CA4" w:rsidRDefault="00AB2F57" w:rsidP="00AB2F57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2) Registration Form (Annex B)</w:t>
      </w:r>
    </w:p>
    <w:p w:rsidR="00794CA4" w:rsidRDefault="00794CA4" w:rsidP="00AB2F57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3) Hotel Rates (Annex C)</w:t>
      </w:r>
    </w:p>
    <w:p w:rsidR="00AB2F57" w:rsidRDefault="00AB2F57" w:rsidP="00AB2F57">
      <w:pPr>
        <w:pStyle w:val="Default"/>
        <w:rPr>
          <w:sz w:val="22"/>
          <w:szCs w:val="22"/>
        </w:rPr>
      </w:pPr>
    </w:p>
    <w:p w:rsidR="00AB2F57" w:rsidRPr="00801331" w:rsidRDefault="00AB2F57" w:rsidP="00897E14">
      <w:pPr>
        <w:pStyle w:val="Default"/>
        <w:jc w:val="both"/>
        <w:rPr>
          <w:sz w:val="22"/>
          <w:szCs w:val="22"/>
        </w:rPr>
      </w:pPr>
      <w:r w:rsidRPr="00801331">
        <w:rPr>
          <w:sz w:val="22"/>
          <w:szCs w:val="22"/>
        </w:rPr>
        <w:t xml:space="preserve">Register </w:t>
      </w:r>
      <w:r w:rsidR="00FF33E2" w:rsidRPr="00801331">
        <w:rPr>
          <w:sz w:val="22"/>
          <w:szCs w:val="22"/>
        </w:rPr>
        <w:t xml:space="preserve">early </w:t>
      </w:r>
      <w:r w:rsidRPr="00801331">
        <w:rPr>
          <w:sz w:val="22"/>
          <w:szCs w:val="22"/>
        </w:rPr>
        <w:t xml:space="preserve">now by accomplishing the attached forms and send them soonest to the Confederation Secretariat, </w:t>
      </w:r>
      <w:r w:rsidR="00897E14" w:rsidRPr="00801331">
        <w:rPr>
          <w:sz w:val="22"/>
          <w:szCs w:val="22"/>
        </w:rPr>
        <w:t>c/o PeoplesBank</w:t>
      </w:r>
      <w:r w:rsidRPr="00801331">
        <w:rPr>
          <w:sz w:val="22"/>
          <w:szCs w:val="22"/>
        </w:rPr>
        <w:t xml:space="preserve">, </w:t>
      </w:r>
      <w:r w:rsidR="00801331" w:rsidRPr="00801331">
        <w:rPr>
          <w:sz w:val="22"/>
          <w:szCs w:val="22"/>
        </w:rPr>
        <w:t>I. San</w:t>
      </w:r>
      <w:r w:rsidR="00801331">
        <w:rPr>
          <w:sz w:val="22"/>
          <w:szCs w:val="22"/>
        </w:rPr>
        <w:t>tiago Blvd., General Santos City</w:t>
      </w:r>
      <w:r w:rsidRPr="00801331">
        <w:rPr>
          <w:sz w:val="22"/>
          <w:szCs w:val="22"/>
        </w:rPr>
        <w:t xml:space="preserve">. Please cross all checks payable to </w:t>
      </w:r>
      <w:r w:rsidR="00801331" w:rsidRPr="00794CA4">
        <w:rPr>
          <w:caps/>
          <w:sz w:val="22"/>
          <w:szCs w:val="22"/>
        </w:rPr>
        <w:t>Rural Bank’s Federation of SOCSKSARGEN Foundation, Inc</w:t>
      </w:r>
      <w:r w:rsidRPr="00794CA4">
        <w:rPr>
          <w:caps/>
          <w:sz w:val="22"/>
          <w:szCs w:val="22"/>
        </w:rPr>
        <w:t>.</w:t>
      </w:r>
      <w:r w:rsidRPr="00801331">
        <w:rPr>
          <w:sz w:val="22"/>
          <w:szCs w:val="22"/>
        </w:rPr>
        <w:t xml:space="preserve"> Payments must be deposited thru </w:t>
      </w:r>
      <w:r w:rsidR="00794CA4">
        <w:rPr>
          <w:sz w:val="22"/>
          <w:szCs w:val="22"/>
        </w:rPr>
        <w:t xml:space="preserve">LAND BANK of the </w:t>
      </w:r>
      <w:r w:rsidRPr="00801331">
        <w:rPr>
          <w:sz w:val="22"/>
          <w:szCs w:val="22"/>
        </w:rPr>
        <w:t>P</w:t>
      </w:r>
      <w:r w:rsidR="00794CA4">
        <w:rPr>
          <w:sz w:val="22"/>
          <w:szCs w:val="22"/>
        </w:rPr>
        <w:t xml:space="preserve">hilippines </w:t>
      </w:r>
      <w:r w:rsidRPr="00801331">
        <w:rPr>
          <w:sz w:val="22"/>
          <w:szCs w:val="22"/>
        </w:rPr>
        <w:t xml:space="preserve"> –</w:t>
      </w:r>
      <w:r w:rsidR="00801331">
        <w:rPr>
          <w:sz w:val="22"/>
          <w:szCs w:val="22"/>
        </w:rPr>
        <w:t xml:space="preserve">General Santos Pioneer </w:t>
      </w:r>
      <w:r w:rsidRPr="00801331">
        <w:rPr>
          <w:sz w:val="22"/>
          <w:szCs w:val="22"/>
        </w:rPr>
        <w:t xml:space="preserve">Branch S.A. </w:t>
      </w:r>
      <w:r w:rsidR="00801331">
        <w:rPr>
          <w:sz w:val="22"/>
          <w:szCs w:val="22"/>
        </w:rPr>
        <w:t xml:space="preserve">0171-2840 </w:t>
      </w:r>
      <w:r w:rsidRPr="00801331">
        <w:rPr>
          <w:sz w:val="22"/>
          <w:szCs w:val="22"/>
        </w:rPr>
        <w:t>and fax the deposit slip in</w:t>
      </w:r>
      <w:r w:rsidR="00F5486A">
        <w:rPr>
          <w:sz w:val="22"/>
          <w:szCs w:val="22"/>
        </w:rPr>
        <w:t>dicating the details of payment to</w:t>
      </w:r>
      <w:r w:rsidRPr="00801331">
        <w:rPr>
          <w:sz w:val="22"/>
          <w:szCs w:val="22"/>
        </w:rPr>
        <w:t xml:space="preserve"> </w:t>
      </w:r>
      <w:r w:rsidR="00801331">
        <w:rPr>
          <w:sz w:val="22"/>
          <w:szCs w:val="22"/>
        </w:rPr>
        <w:t>Confederation of South Central Mindanao Rural Banks</w:t>
      </w:r>
      <w:r w:rsidR="00F5486A">
        <w:rPr>
          <w:sz w:val="22"/>
          <w:szCs w:val="22"/>
        </w:rPr>
        <w:t xml:space="preserve"> Association, </w:t>
      </w:r>
      <w:r w:rsidR="00801331">
        <w:rPr>
          <w:sz w:val="22"/>
          <w:szCs w:val="22"/>
        </w:rPr>
        <w:t>(083</w:t>
      </w:r>
      <w:r w:rsidRPr="00801331">
        <w:rPr>
          <w:sz w:val="22"/>
          <w:szCs w:val="22"/>
        </w:rPr>
        <w:t xml:space="preserve">) </w:t>
      </w:r>
      <w:r w:rsidR="00801331">
        <w:rPr>
          <w:sz w:val="22"/>
          <w:szCs w:val="22"/>
        </w:rPr>
        <w:t xml:space="preserve">5532291 or email to </w:t>
      </w:r>
      <w:r w:rsidR="00801331" w:rsidRPr="00794CA4">
        <w:rPr>
          <w:b/>
          <w:sz w:val="22"/>
          <w:szCs w:val="22"/>
        </w:rPr>
        <w:t>cscmrba@gmail.com</w:t>
      </w:r>
      <w:r w:rsidRPr="00801331">
        <w:rPr>
          <w:sz w:val="22"/>
          <w:szCs w:val="22"/>
        </w:rPr>
        <w:t xml:space="preserve">. </w:t>
      </w:r>
    </w:p>
    <w:p w:rsidR="00FF33E2" w:rsidRDefault="00FF33E2" w:rsidP="00AB2F57">
      <w:pPr>
        <w:pStyle w:val="Default"/>
        <w:rPr>
          <w:sz w:val="22"/>
          <w:szCs w:val="22"/>
        </w:rPr>
      </w:pPr>
    </w:p>
    <w:p w:rsidR="00FF33E2" w:rsidRDefault="00FF33E2" w:rsidP="00AB2F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See you all in the Tuna Capital of the Philippines, the City of Generals.  We’ll be more than honored to have your presence with us</w:t>
      </w:r>
      <w:r w:rsidR="001E7405">
        <w:rPr>
          <w:sz w:val="22"/>
          <w:szCs w:val="22"/>
        </w:rPr>
        <w:t>.  Let’s</w:t>
      </w:r>
      <w:r>
        <w:rPr>
          <w:sz w:val="22"/>
          <w:szCs w:val="22"/>
        </w:rPr>
        <w:t xml:space="preserve"> learn together.</w:t>
      </w:r>
    </w:p>
    <w:p w:rsidR="00FF33E2" w:rsidRDefault="00FF33E2" w:rsidP="00AB2F57">
      <w:pPr>
        <w:pStyle w:val="Default"/>
        <w:rPr>
          <w:sz w:val="22"/>
          <w:szCs w:val="22"/>
        </w:rPr>
      </w:pPr>
    </w:p>
    <w:p w:rsidR="00FF33E2" w:rsidRDefault="00FF33E2" w:rsidP="00AB2F57">
      <w:pPr>
        <w:pStyle w:val="Default"/>
        <w:rPr>
          <w:sz w:val="22"/>
          <w:szCs w:val="22"/>
        </w:rPr>
      </w:pPr>
    </w:p>
    <w:p w:rsidR="00AB2F57" w:rsidRDefault="00AB2F57" w:rsidP="00AB2F5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Very truly yours, </w:t>
      </w:r>
    </w:p>
    <w:p w:rsidR="001E7405" w:rsidRDefault="001E7405" w:rsidP="00AB2F57">
      <w:pPr>
        <w:pStyle w:val="Default"/>
        <w:rPr>
          <w:b/>
          <w:bCs/>
          <w:sz w:val="22"/>
          <w:szCs w:val="22"/>
        </w:rPr>
      </w:pPr>
    </w:p>
    <w:p w:rsidR="001E7405" w:rsidRDefault="00C72327" w:rsidP="00AB2F57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w:drawing>
          <wp:inline distT="0" distB="0" distL="0" distR="0">
            <wp:extent cx="1175766" cy="948630"/>
            <wp:effectExtent l="19050" t="0" r="5334" b="0"/>
            <wp:docPr id="1" name="Picture 0" descr="jc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 si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9087" cy="95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405" w:rsidRDefault="00F5486A" w:rsidP="00AB2F5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 S. CED</w:t>
      </w:r>
    </w:p>
    <w:p w:rsidR="00701B55" w:rsidRPr="00794CA4" w:rsidRDefault="00F5486A" w:rsidP="00AB2F57">
      <w:pPr>
        <w:pStyle w:val="Default"/>
        <w:rPr>
          <w:bCs/>
          <w:i/>
          <w:sz w:val="16"/>
          <w:szCs w:val="16"/>
        </w:rPr>
      </w:pPr>
      <w:r w:rsidRPr="00794CA4">
        <w:rPr>
          <w:bCs/>
          <w:i/>
          <w:sz w:val="16"/>
          <w:szCs w:val="16"/>
        </w:rPr>
        <w:t>President</w:t>
      </w:r>
    </w:p>
    <w:p w:rsidR="00701B55" w:rsidRPr="00794CA4" w:rsidRDefault="00794CA4" w:rsidP="00AB2F57">
      <w:pPr>
        <w:pStyle w:val="Default"/>
        <w:rPr>
          <w:i/>
          <w:sz w:val="16"/>
          <w:szCs w:val="16"/>
        </w:rPr>
      </w:pPr>
      <w:r w:rsidRPr="00794CA4">
        <w:rPr>
          <w:bCs/>
          <w:i/>
          <w:sz w:val="16"/>
          <w:szCs w:val="16"/>
        </w:rPr>
        <w:t>Confederation of South Central Mindanao Rural Bankers Association</w:t>
      </w:r>
    </w:p>
    <w:sectPr w:rsidR="00701B55" w:rsidRPr="00794CA4" w:rsidSect="003A6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wis721 Lt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20"/>
  <w:characterSpacingControl w:val="doNotCompress"/>
  <w:compat/>
  <w:rsids>
    <w:rsidRoot w:val="00AB2F57"/>
    <w:rsid w:val="000067E5"/>
    <w:rsid w:val="00024546"/>
    <w:rsid w:val="00044A6C"/>
    <w:rsid w:val="00070967"/>
    <w:rsid w:val="00082E0B"/>
    <w:rsid w:val="000965FD"/>
    <w:rsid w:val="000B1849"/>
    <w:rsid w:val="000B5262"/>
    <w:rsid w:val="000D0DAB"/>
    <w:rsid w:val="000E42CD"/>
    <w:rsid w:val="000E5ED3"/>
    <w:rsid w:val="000E7BFF"/>
    <w:rsid w:val="000F1828"/>
    <w:rsid w:val="000F686E"/>
    <w:rsid w:val="0010626D"/>
    <w:rsid w:val="00123CA8"/>
    <w:rsid w:val="0012455E"/>
    <w:rsid w:val="00127C57"/>
    <w:rsid w:val="00144B9A"/>
    <w:rsid w:val="001824FD"/>
    <w:rsid w:val="001A1665"/>
    <w:rsid w:val="001A7910"/>
    <w:rsid w:val="001C590A"/>
    <w:rsid w:val="001D0EF2"/>
    <w:rsid w:val="001D1891"/>
    <w:rsid w:val="001D3454"/>
    <w:rsid w:val="001E7405"/>
    <w:rsid w:val="00201649"/>
    <w:rsid w:val="0021275D"/>
    <w:rsid w:val="00217E84"/>
    <w:rsid w:val="002468BD"/>
    <w:rsid w:val="00252593"/>
    <w:rsid w:val="00286845"/>
    <w:rsid w:val="00293A02"/>
    <w:rsid w:val="00295E34"/>
    <w:rsid w:val="00296DAF"/>
    <w:rsid w:val="002B4C4F"/>
    <w:rsid w:val="002C7F55"/>
    <w:rsid w:val="002D2F1D"/>
    <w:rsid w:val="002E45DC"/>
    <w:rsid w:val="002F236C"/>
    <w:rsid w:val="00315D7E"/>
    <w:rsid w:val="0033121D"/>
    <w:rsid w:val="00345820"/>
    <w:rsid w:val="00360E11"/>
    <w:rsid w:val="00396FE2"/>
    <w:rsid w:val="003A079A"/>
    <w:rsid w:val="003A3B32"/>
    <w:rsid w:val="003A64EB"/>
    <w:rsid w:val="003A66D9"/>
    <w:rsid w:val="003F0D34"/>
    <w:rsid w:val="00426311"/>
    <w:rsid w:val="00427DD5"/>
    <w:rsid w:val="00444EA8"/>
    <w:rsid w:val="00455A58"/>
    <w:rsid w:val="00460EB2"/>
    <w:rsid w:val="0047566D"/>
    <w:rsid w:val="00480F90"/>
    <w:rsid w:val="00495CEB"/>
    <w:rsid w:val="004A2ADB"/>
    <w:rsid w:val="004B6035"/>
    <w:rsid w:val="004C4161"/>
    <w:rsid w:val="004C62CE"/>
    <w:rsid w:val="004C6C2E"/>
    <w:rsid w:val="004C7FE3"/>
    <w:rsid w:val="005000A1"/>
    <w:rsid w:val="005175A1"/>
    <w:rsid w:val="00545FCE"/>
    <w:rsid w:val="00550F02"/>
    <w:rsid w:val="0055491E"/>
    <w:rsid w:val="00561785"/>
    <w:rsid w:val="00572E95"/>
    <w:rsid w:val="005771CE"/>
    <w:rsid w:val="005849DD"/>
    <w:rsid w:val="00585BFB"/>
    <w:rsid w:val="005B5A4D"/>
    <w:rsid w:val="005C0AF2"/>
    <w:rsid w:val="005C5E3A"/>
    <w:rsid w:val="005D1B65"/>
    <w:rsid w:val="005D3005"/>
    <w:rsid w:val="005F7CBC"/>
    <w:rsid w:val="006060C8"/>
    <w:rsid w:val="00612D76"/>
    <w:rsid w:val="00615F1A"/>
    <w:rsid w:val="00631998"/>
    <w:rsid w:val="00672442"/>
    <w:rsid w:val="006851A0"/>
    <w:rsid w:val="00694FF2"/>
    <w:rsid w:val="006A4FA1"/>
    <w:rsid w:val="006B7665"/>
    <w:rsid w:val="006D7BE2"/>
    <w:rsid w:val="006E4C76"/>
    <w:rsid w:val="006F2394"/>
    <w:rsid w:val="00701B55"/>
    <w:rsid w:val="00771F8F"/>
    <w:rsid w:val="007831EE"/>
    <w:rsid w:val="00784896"/>
    <w:rsid w:val="00794CA4"/>
    <w:rsid w:val="007A3BC8"/>
    <w:rsid w:val="007A6962"/>
    <w:rsid w:val="007B423A"/>
    <w:rsid w:val="007C7450"/>
    <w:rsid w:val="007F4212"/>
    <w:rsid w:val="008006AE"/>
    <w:rsid w:val="00801331"/>
    <w:rsid w:val="008205C7"/>
    <w:rsid w:val="00820842"/>
    <w:rsid w:val="008659CD"/>
    <w:rsid w:val="00874C28"/>
    <w:rsid w:val="00883A1F"/>
    <w:rsid w:val="008876E5"/>
    <w:rsid w:val="00897E14"/>
    <w:rsid w:val="008A27EE"/>
    <w:rsid w:val="008A5B7D"/>
    <w:rsid w:val="008B3F5F"/>
    <w:rsid w:val="008D00F1"/>
    <w:rsid w:val="008D49DE"/>
    <w:rsid w:val="008E5068"/>
    <w:rsid w:val="008E6C34"/>
    <w:rsid w:val="00927C88"/>
    <w:rsid w:val="009377DB"/>
    <w:rsid w:val="009529CD"/>
    <w:rsid w:val="009579E1"/>
    <w:rsid w:val="009726D8"/>
    <w:rsid w:val="00991C0C"/>
    <w:rsid w:val="009A1CC7"/>
    <w:rsid w:val="009B2149"/>
    <w:rsid w:val="009B47DD"/>
    <w:rsid w:val="009C1E7F"/>
    <w:rsid w:val="009D0889"/>
    <w:rsid w:val="009E33EF"/>
    <w:rsid w:val="00A25E72"/>
    <w:rsid w:val="00A43475"/>
    <w:rsid w:val="00A4586F"/>
    <w:rsid w:val="00A74457"/>
    <w:rsid w:val="00A84D1A"/>
    <w:rsid w:val="00A926D6"/>
    <w:rsid w:val="00A9713F"/>
    <w:rsid w:val="00AA6AA4"/>
    <w:rsid w:val="00AA6D35"/>
    <w:rsid w:val="00AB2F57"/>
    <w:rsid w:val="00AB502C"/>
    <w:rsid w:val="00AC49F1"/>
    <w:rsid w:val="00B10711"/>
    <w:rsid w:val="00B3770B"/>
    <w:rsid w:val="00B44DE6"/>
    <w:rsid w:val="00B62306"/>
    <w:rsid w:val="00B660ED"/>
    <w:rsid w:val="00B7560E"/>
    <w:rsid w:val="00B76B8E"/>
    <w:rsid w:val="00B858CE"/>
    <w:rsid w:val="00B93EC2"/>
    <w:rsid w:val="00BA0F1B"/>
    <w:rsid w:val="00BD5B06"/>
    <w:rsid w:val="00C14690"/>
    <w:rsid w:val="00C25852"/>
    <w:rsid w:val="00C51124"/>
    <w:rsid w:val="00C55D38"/>
    <w:rsid w:val="00C6787E"/>
    <w:rsid w:val="00C72327"/>
    <w:rsid w:val="00CC0A1B"/>
    <w:rsid w:val="00D2019E"/>
    <w:rsid w:val="00D20B89"/>
    <w:rsid w:val="00D31908"/>
    <w:rsid w:val="00D4416E"/>
    <w:rsid w:val="00D4669A"/>
    <w:rsid w:val="00D478D7"/>
    <w:rsid w:val="00D60080"/>
    <w:rsid w:val="00D7010A"/>
    <w:rsid w:val="00D93450"/>
    <w:rsid w:val="00D9392F"/>
    <w:rsid w:val="00DA7733"/>
    <w:rsid w:val="00DB59A8"/>
    <w:rsid w:val="00DC2C0A"/>
    <w:rsid w:val="00DE1A36"/>
    <w:rsid w:val="00E06B12"/>
    <w:rsid w:val="00E073E2"/>
    <w:rsid w:val="00E16236"/>
    <w:rsid w:val="00E440E1"/>
    <w:rsid w:val="00E53A45"/>
    <w:rsid w:val="00E557E3"/>
    <w:rsid w:val="00E64618"/>
    <w:rsid w:val="00E75185"/>
    <w:rsid w:val="00E96A4D"/>
    <w:rsid w:val="00EB1225"/>
    <w:rsid w:val="00EE06E2"/>
    <w:rsid w:val="00EE62ED"/>
    <w:rsid w:val="00EF2059"/>
    <w:rsid w:val="00F0557A"/>
    <w:rsid w:val="00F21F4F"/>
    <w:rsid w:val="00F325B2"/>
    <w:rsid w:val="00F547AB"/>
    <w:rsid w:val="00F5486A"/>
    <w:rsid w:val="00F66F56"/>
    <w:rsid w:val="00F81804"/>
    <w:rsid w:val="00F93011"/>
    <w:rsid w:val="00FA2F9D"/>
    <w:rsid w:val="00FB2448"/>
    <w:rsid w:val="00FC476C"/>
    <w:rsid w:val="00FC60BF"/>
    <w:rsid w:val="00FD4314"/>
    <w:rsid w:val="00FD72BD"/>
    <w:rsid w:val="00FE5559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3A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2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7B423A"/>
    <w:pPr>
      <w:widowControl/>
      <w:tabs>
        <w:tab w:val="center" w:pos="4320"/>
        <w:tab w:val="right" w:pos="8640"/>
      </w:tabs>
      <w:jc w:val="left"/>
    </w:pPr>
    <w:rPr>
      <w:rFonts w:ascii="Arial" w:eastAsia="Times New Roman" w:hAnsi="Arial" w:cs="Times New Roman"/>
      <w:kern w:val="0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rsid w:val="007B423A"/>
    <w:rPr>
      <w:rFonts w:ascii="Arial" w:eastAsia="Times New Roman" w:hAnsi="Arial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7"/>
    <w:rPr>
      <w:rFonts w:ascii="Tahoma" w:eastAsiaTheme="minorEastAsia" w:hAnsi="Tahoma" w:cs="Tahoma"/>
      <w:kern w:val="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2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F1AC-9BF2-472D-B6CB-259849F8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CEE_PRB</cp:lastModifiedBy>
  <cp:revision>8</cp:revision>
  <dcterms:created xsi:type="dcterms:W3CDTF">2014-08-07T07:08:00Z</dcterms:created>
  <dcterms:modified xsi:type="dcterms:W3CDTF">2014-08-14T07:50:00Z</dcterms:modified>
</cp:coreProperties>
</file>